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6D932" w14:textId="45E61A2B" w:rsidR="000501FE" w:rsidRDefault="0079219D">
      <w:bookmarkStart w:id="0" w:name="_GoBack"/>
      <w:bookmarkEnd w:id="0"/>
      <w:r>
        <w:rPr>
          <w:noProof/>
        </w:rPr>
        <w:pict w14:anchorId="0F4E3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pt;margin-top:-71.7pt;width:842.5pt;height:552.45pt;z-index:251659264;mso-position-horizontal-relative:text;mso-position-vertical-relative:text">
            <v:imagedata r:id="rId8" o:title="Cover" cropbottom="4733f"/>
          </v:shape>
        </w:pict>
      </w:r>
      <w:r w:rsidR="000501FE">
        <w:br w:type="page"/>
      </w:r>
    </w:p>
    <w:tbl>
      <w:tblPr>
        <w:tblStyle w:val="TableGrid"/>
        <w:tblW w:w="0" w:type="auto"/>
        <w:tblLayout w:type="fixed"/>
        <w:tblLook w:val="04A0" w:firstRow="1" w:lastRow="0" w:firstColumn="1" w:lastColumn="0" w:noHBand="0" w:noVBand="1"/>
      </w:tblPr>
      <w:tblGrid>
        <w:gridCol w:w="5382"/>
        <w:gridCol w:w="10006"/>
      </w:tblGrid>
      <w:tr w:rsidR="0088694C" w14:paraId="2E0B2893" w14:textId="77777777" w:rsidTr="0088694C">
        <w:tc>
          <w:tcPr>
            <w:tcW w:w="15388" w:type="dxa"/>
            <w:gridSpan w:val="2"/>
            <w:shd w:val="clear" w:color="auto" w:fill="F4DCEF"/>
            <w:tcMar>
              <w:top w:w="85" w:type="dxa"/>
              <w:bottom w:w="85" w:type="dxa"/>
            </w:tcMar>
            <w:vAlign w:val="center"/>
          </w:tcPr>
          <w:p w14:paraId="6CC71F5D" w14:textId="77777777" w:rsidR="0088694C" w:rsidRPr="002A0ED1" w:rsidRDefault="0088694C" w:rsidP="00210EE6">
            <w:pPr>
              <w:rPr>
                <w:b/>
                <w:lang w:val="en-US"/>
              </w:rPr>
            </w:pPr>
            <w:r w:rsidRPr="0088694C">
              <w:rPr>
                <w:b/>
                <w:sz w:val="24"/>
                <w:lang w:val="en-US"/>
              </w:rPr>
              <w:lastRenderedPageBreak/>
              <w:t>Booking an End-Point Assessment</w:t>
            </w:r>
          </w:p>
        </w:tc>
      </w:tr>
      <w:tr w:rsidR="0088694C" w14:paraId="14525683" w14:textId="77777777" w:rsidTr="0088694C">
        <w:trPr>
          <w:trHeight w:val="30"/>
        </w:trPr>
        <w:tc>
          <w:tcPr>
            <w:tcW w:w="5382" w:type="dxa"/>
            <w:shd w:val="clear" w:color="auto" w:fill="F2F2F2" w:themeFill="background1" w:themeFillShade="F2"/>
            <w:tcMar>
              <w:top w:w="85" w:type="dxa"/>
              <w:bottom w:w="85" w:type="dxa"/>
            </w:tcMar>
            <w:vAlign w:val="center"/>
          </w:tcPr>
          <w:p w14:paraId="7D20578E" w14:textId="77777777" w:rsidR="0088694C" w:rsidRPr="002A0ED1" w:rsidRDefault="0088694C" w:rsidP="00210EE6">
            <w:pPr>
              <w:rPr>
                <w:b/>
                <w:lang w:val="en-US"/>
              </w:rPr>
            </w:pPr>
            <w:r w:rsidRPr="002A0ED1">
              <w:rPr>
                <w:b/>
                <w:lang w:val="en-US"/>
              </w:rPr>
              <w:t>Question</w:t>
            </w:r>
          </w:p>
        </w:tc>
        <w:tc>
          <w:tcPr>
            <w:tcW w:w="10006" w:type="dxa"/>
            <w:shd w:val="clear" w:color="auto" w:fill="F2F2F2" w:themeFill="background1" w:themeFillShade="F2"/>
            <w:tcMar>
              <w:top w:w="85" w:type="dxa"/>
              <w:bottom w:w="85" w:type="dxa"/>
            </w:tcMar>
            <w:vAlign w:val="center"/>
          </w:tcPr>
          <w:p w14:paraId="5CCBDFB7" w14:textId="77777777" w:rsidR="0088694C" w:rsidRPr="002A0ED1" w:rsidRDefault="0088694C" w:rsidP="00210EE6">
            <w:pPr>
              <w:rPr>
                <w:b/>
                <w:lang w:val="en-US"/>
              </w:rPr>
            </w:pPr>
            <w:r w:rsidRPr="002A0ED1">
              <w:rPr>
                <w:b/>
                <w:lang w:val="en-US"/>
              </w:rPr>
              <w:t>Answer</w:t>
            </w:r>
          </w:p>
        </w:tc>
      </w:tr>
      <w:tr w:rsidR="0088694C" w14:paraId="101DDDE4" w14:textId="77777777" w:rsidTr="00C33E71">
        <w:tc>
          <w:tcPr>
            <w:tcW w:w="5382" w:type="dxa"/>
            <w:tcMar>
              <w:top w:w="142" w:type="dxa"/>
              <w:bottom w:w="142" w:type="dxa"/>
            </w:tcMar>
            <w:vAlign w:val="center"/>
          </w:tcPr>
          <w:p w14:paraId="35CD89B3" w14:textId="77777777" w:rsidR="0088694C" w:rsidRPr="009349F2" w:rsidRDefault="0088694C" w:rsidP="0088694C">
            <w:r w:rsidRPr="009349F2">
              <w:t>Where can the End-point Assessment be held?</w:t>
            </w:r>
          </w:p>
        </w:tc>
        <w:tc>
          <w:tcPr>
            <w:tcW w:w="10006" w:type="dxa"/>
            <w:tcMar>
              <w:top w:w="142" w:type="dxa"/>
              <w:bottom w:w="142" w:type="dxa"/>
            </w:tcMar>
            <w:vAlign w:val="center"/>
          </w:tcPr>
          <w:p w14:paraId="29287504" w14:textId="77777777" w:rsidR="0088694C" w:rsidRPr="00AA798F" w:rsidRDefault="0088694C" w:rsidP="0088694C">
            <w:r w:rsidRPr="00AA798F">
              <w:t xml:space="preserve">The End-point Assessment can take place at either the employer’s or training provider’s salon. As far as reasonably practicable, the location of the End-point Assessment should match the conditions of a realistic working environment. More information can be found in the Guidance for Employers and Training Providers document. </w:t>
            </w:r>
          </w:p>
        </w:tc>
      </w:tr>
      <w:tr w:rsidR="0088694C" w14:paraId="114CEC71" w14:textId="77777777" w:rsidTr="00C33E71">
        <w:tc>
          <w:tcPr>
            <w:tcW w:w="5382" w:type="dxa"/>
            <w:tcMar>
              <w:top w:w="142" w:type="dxa"/>
              <w:bottom w:w="142" w:type="dxa"/>
            </w:tcMar>
            <w:vAlign w:val="center"/>
          </w:tcPr>
          <w:p w14:paraId="64D63996" w14:textId="4CBE7FB6" w:rsidR="0088694C" w:rsidRPr="009349F2" w:rsidRDefault="0088694C" w:rsidP="0088694C">
            <w:r w:rsidRPr="009349F2">
              <w:t>What support can be given to apprentices with the need for reasonable adjustments/special consideration</w:t>
            </w:r>
            <w:r w:rsidR="000639F6">
              <w:t>s</w:t>
            </w:r>
            <w:r w:rsidRPr="009349F2">
              <w:t>?</w:t>
            </w:r>
          </w:p>
        </w:tc>
        <w:tc>
          <w:tcPr>
            <w:tcW w:w="10006" w:type="dxa"/>
            <w:tcMar>
              <w:top w:w="142" w:type="dxa"/>
              <w:bottom w:w="142" w:type="dxa"/>
            </w:tcMar>
            <w:vAlign w:val="center"/>
          </w:tcPr>
          <w:p w14:paraId="096C0D75" w14:textId="53BAF3FC" w:rsidR="0088694C" w:rsidRPr="00AA798F" w:rsidRDefault="0088694C" w:rsidP="000639F6">
            <w:r w:rsidRPr="00AA798F">
              <w:t xml:space="preserve">You would need to follow the guidance detailed in the Reasonable Adjustment and Special Considerations Policy found on the VTCT website.  </w:t>
            </w:r>
          </w:p>
        </w:tc>
      </w:tr>
      <w:tr w:rsidR="0088694C" w14:paraId="02F76564" w14:textId="77777777" w:rsidTr="00C33E71">
        <w:tc>
          <w:tcPr>
            <w:tcW w:w="5382" w:type="dxa"/>
            <w:tcMar>
              <w:top w:w="142" w:type="dxa"/>
              <w:bottom w:w="142" w:type="dxa"/>
            </w:tcMar>
            <w:vAlign w:val="center"/>
          </w:tcPr>
          <w:p w14:paraId="4F176199" w14:textId="77777777" w:rsidR="0088694C" w:rsidRPr="009349F2" w:rsidRDefault="0088694C" w:rsidP="0088694C">
            <w:r w:rsidRPr="009349F2">
              <w:t xml:space="preserve">Can End-point Assessments be arranged in collaboration with another training provider/employer?  </w:t>
            </w:r>
          </w:p>
        </w:tc>
        <w:tc>
          <w:tcPr>
            <w:tcW w:w="10006" w:type="dxa"/>
            <w:tcMar>
              <w:top w:w="142" w:type="dxa"/>
              <w:bottom w:w="142" w:type="dxa"/>
            </w:tcMar>
            <w:vAlign w:val="center"/>
          </w:tcPr>
          <w:p w14:paraId="4F080D69" w14:textId="77777777" w:rsidR="0088694C" w:rsidRDefault="0088694C" w:rsidP="0088694C">
            <w:r w:rsidRPr="00AA798F">
              <w:t xml:space="preserve">VTCT does not permit apprentices from different training providers/employers to be part of the same End-point Assessment.   </w:t>
            </w:r>
          </w:p>
        </w:tc>
      </w:tr>
      <w:tr w:rsidR="0088694C" w14:paraId="74D31B49" w14:textId="77777777" w:rsidTr="00C33E71">
        <w:tc>
          <w:tcPr>
            <w:tcW w:w="5382" w:type="dxa"/>
            <w:tcMar>
              <w:top w:w="142" w:type="dxa"/>
              <w:bottom w:w="142" w:type="dxa"/>
            </w:tcMar>
            <w:vAlign w:val="center"/>
          </w:tcPr>
          <w:p w14:paraId="4BD1320F" w14:textId="77777777" w:rsidR="0088694C" w:rsidRPr="009349F2" w:rsidRDefault="0088694C" w:rsidP="0088694C">
            <w:r w:rsidRPr="009349F2">
              <w:t>Can an End-point Assessment be cancelled without charge?</w:t>
            </w:r>
          </w:p>
        </w:tc>
        <w:tc>
          <w:tcPr>
            <w:tcW w:w="10006" w:type="dxa"/>
            <w:tcMar>
              <w:top w:w="142" w:type="dxa"/>
              <w:bottom w:w="142" w:type="dxa"/>
            </w:tcMar>
            <w:vAlign w:val="center"/>
          </w:tcPr>
          <w:p w14:paraId="337A45C3" w14:textId="69570DAB" w:rsidR="0088694C" w:rsidRPr="00D4083F" w:rsidRDefault="0088694C" w:rsidP="00AF7D0A">
            <w:r w:rsidRPr="00D4083F">
              <w:t xml:space="preserve">It is possible for an End-point Assessment to be cancelled without charge if </w:t>
            </w:r>
            <w:r w:rsidR="00AF7D0A">
              <w:t xml:space="preserve">notification is received by VTCT with a </w:t>
            </w:r>
            <w:r w:rsidRPr="00D4083F">
              <w:t>minimum of 10 working days before the End-point Assessment date.</w:t>
            </w:r>
          </w:p>
        </w:tc>
      </w:tr>
      <w:tr w:rsidR="0088694C" w14:paraId="31398708" w14:textId="77777777" w:rsidTr="00C33E71">
        <w:tc>
          <w:tcPr>
            <w:tcW w:w="5382" w:type="dxa"/>
            <w:tcMar>
              <w:top w:w="142" w:type="dxa"/>
              <w:bottom w:w="142" w:type="dxa"/>
            </w:tcMar>
            <w:vAlign w:val="center"/>
          </w:tcPr>
          <w:p w14:paraId="61CAAA5E" w14:textId="77777777" w:rsidR="0088694C" w:rsidRPr="009349F2" w:rsidRDefault="0088694C" w:rsidP="0088694C">
            <w:r w:rsidRPr="009349F2">
              <w:t>Can an End-point Assessment be booked before the apprentice has passed gateway?</w:t>
            </w:r>
          </w:p>
        </w:tc>
        <w:tc>
          <w:tcPr>
            <w:tcW w:w="10006" w:type="dxa"/>
            <w:tcMar>
              <w:top w:w="142" w:type="dxa"/>
              <w:bottom w:w="142" w:type="dxa"/>
            </w:tcMar>
            <w:vAlign w:val="center"/>
          </w:tcPr>
          <w:p w14:paraId="36F6B2E3" w14:textId="77777777" w:rsidR="0088694C" w:rsidRPr="00D4083F" w:rsidRDefault="0088694C" w:rsidP="0088694C">
            <w:r w:rsidRPr="00D4083F">
              <w:t xml:space="preserve">An End-point Assessment can only be booked once the apprentice has passed gateway. </w:t>
            </w:r>
          </w:p>
        </w:tc>
      </w:tr>
      <w:tr w:rsidR="0088694C" w14:paraId="070281AE" w14:textId="77777777" w:rsidTr="00C33E71">
        <w:tc>
          <w:tcPr>
            <w:tcW w:w="5382" w:type="dxa"/>
            <w:tcMar>
              <w:top w:w="142" w:type="dxa"/>
              <w:bottom w:w="142" w:type="dxa"/>
            </w:tcMar>
            <w:vAlign w:val="center"/>
          </w:tcPr>
          <w:p w14:paraId="06FE0C36" w14:textId="77777777" w:rsidR="0088694C" w:rsidRDefault="0088694C" w:rsidP="0088694C">
            <w:r w:rsidRPr="009349F2">
              <w:t>What happens if the apprentice’s gateway is rejected?</w:t>
            </w:r>
          </w:p>
        </w:tc>
        <w:tc>
          <w:tcPr>
            <w:tcW w:w="10006" w:type="dxa"/>
            <w:tcMar>
              <w:top w:w="142" w:type="dxa"/>
              <w:bottom w:w="142" w:type="dxa"/>
            </w:tcMar>
            <w:vAlign w:val="center"/>
          </w:tcPr>
          <w:p w14:paraId="5B271FF9" w14:textId="216ABE18" w:rsidR="0088694C" w:rsidRDefault="0088694C" w:rsidP="000639F6">
            <w:r w:rsidRPr="00D4083F">
              <w:t xml:space="preserve">You will receive an email notification from SEPA stating the reason(s) why the apprentice’s gateway evidence has been rejected. Once the rejection actions have been rectified, you will need to contact VTCT to complete the gateway stage. </w:t>
            </w:r>
          </w:p>
        </w:tc>
      </w:tr>
      <w:tr w:rsidR="0088694C" w14:paraId="0555F53E" w14:textId="77777777" w:rsidTr="00C33E71">
        <w:tc>
          <w:tcPr>
            <w:tcW w:w="5382" w:type="dxa"/>
            <w:tcMar>
              <w:top w:w="142" w:type="dxa"/>
              <w:bottom w:w="142" w:type="dxa"/>
            </w:tcMar>
            <w:vAlign w:val="center"/>
          </w:tcPr>
          <w:p w14:paraId="0635AB1C" w14:textId="44737D89" w:rsidR="0088694C" w:rsidRPr="008867DB" w:rsidRDefault="0088694C" w:rsidP="0088694C">
            <w:r w:rsidRPr="008867DB">
              <w:t xml:space="preserve">How soon can an End-point Assessment be scheduled once the apprentice has passed </w:t>
            </w:r>
            <w:r w:rsidR="000639F6">
              <w:t xml:space="preserve">the </w:t>
            </w:r>
            <w:r w:rsidRPr="008867DB">
              <w:t>gateway</w:t>
            </w:r>
            <w:r w:rsidR="000639F6">
              <w:t xml:space="preserve"> stage</w:t>
            </w:r>
            <w:r w:rsidRPr="008867DB">
              <w:t>?</w:t>
            </w:r>
          </w:p>
        </w:tc>
        <w:tc>
          <w:tcPr>
            <w:tcW w:w="10006" w:type="dxa"/>
            <w:tcMar>
              <w:top w:w="142" w:type="dxa"/>
              <w:bottom w:w="142" w:type="dxa"/>
            </w:tcMar>
            <w:vAlign w:val="center"/>
          </w:tcPr>
          <w:p w14:paraId="53F1FBCE" w14:textId="77777777" w:rsidR="0088694C" w:rsidRPr="00350CE1" w:rsidRDefault="0088694C" w:rsidP="0088694C">
            <w:r w:rsidRPr="00350CE1">
              <w:t>Once the apprentice has passed gateway, they are elig</w:t>
            </w:r>
            <w:r w:rsidR="00D301CA">
              <w:t xml:space="preserve">ible for End-point Assessment. </w:t>
            </w:r>
            <w:r w:rsidRPr="00350CE1">
              <w:t xml:space="preserve">VTCT requires 30 days’ notice of the booking for all scheduled End-point Assessments from gateway. </w:t>
            </w:r>
          </w:p>
        </w:tc>
      </w:tr>
      <w:tr w:rsidR="0088694C" w14:paraId="72659EAD" w14:textId="77777777" w:rsidTr="00C33E71">
        <w:tc>
          <w:tcPr>
            <w:tcW w:w="5382" w:type="dxa"/>
            <w:tcMar>
              <w:top w:w="142" w:type="dxa"/>
              <w:bottom w:w="142" w:type="dxa"/>
            </w:tcMar>
            <w:vAlign w:val="center"/>
          </w:tcPr>
          <w:p w14:paraId="4DADF21C" w14:textId="77777777" w:rsidR="0088694C" w:rsidRDefault="0088694C" w:rsidP="0088694C">
            <w:r w:rsidRPr="008867DB">
              <w:t>What is the process for booking an End-point Assessment?</w:t>
            </w:r>
          </w:p>
        </w:tc>
        <w:tc>
          <w:tcPr>
            <w:tcW w:w="10006" w:type="dxa"/>
            <w:tcMar>
              <w:top w:w="142" w:type="dxa"/>
              <w:bottom w:w="142" w:type="dxa"/>
            </w:tcMar>
            <w:vAlign w:val="center"/>
          </w:tcPr>
          <w:p w14:paraId="252E0AEB" w14:textId="77777777" w:rsidR="0088694C" w:rsidRDefault="0088694C" w:rsidP="00D301CA">
            <w:r w:rsidRPr="00350CE1">
              <w:t xml:space="preserve">Once the apprentice has passed gateway in SEPA, the training provider is required to complete the End-point Assessment Booking Request Form and send it to </w:t>
            </w:r>
            <w:hyperlink r:id="rId9" w:history="1">
              <w:r w:rsidR="00D301CA" w:rsidRPr="009A2831">
                <w:rPr>
                  <w:rStyle w:val="Hyperlink"/>
                </w:rPr>
                <w:t>epa@vtct.org.uk</w:t>
              </w:r>
            </w:hyperlink>
            <w:r w:rsidRPr="00350CE1">
              <w:t xml:space="preserve">. </w:t>
            </w:r>
          </w:p>
        </w:tc>
      </w:tr>
    </w:tbl>
    <w:p w14:paraId="3F8553BA" w14:textId="1399C90B" w:rsidR="00706679" w:rsidRDefault="00706679" w:rsidP="006A3FBE">
      <w:pPr>
        <w:rPr>
          <w:rFonts w:cs="Arial"/>
          <w:szCs w:val="20"/>
          <w:lang w:val="en-US"/>
        </w:rPr>
      </w:pPr>
    </w:p>
    <w:p w14:paraId="0DC2613F" w14:textId="609BE99F" w:rsidR="000639F6" w:rsidRDefault="000639F6" w:rsidP="006A3FBE">
      <w:pPr>
        <w:rPr>
          <w:rFonts w:cs="Arial"/>
          <w:szCs w:val="20"/>
          <w:lang w:val="en-US"/>
        </w:rPr>
      </w:pPr>
    </w:p>
    <w:p w14:paraId="6299F1A6" w14:textId="178034E1" w:rsidR="000639F6" w:rsidRDefault="000639F6" w:rsidP="006A3FBE">
      <w:pPr>
        <w:rPr>
          <w:rFonts w:cs="Arial"/>
          <w:szCs w:val="20"/>
          <w:lang w:val="en-US"/>
        </w:rPr>
      </w:pPr>
    </w:p>
    <w:tbl>
      <w:tblPr>
        <w:tblStyle w:val="TableGrid"/>
        <w:tblW w:w="0" w:type="auto"/>
        <w:tblLayout w:type="fixed"/>
        <w:tblLook w:val="04A0" w:firstRow="1" w:lastRow="0" w:firstColumn="1" w:lastColumn="0" w:noHBand="0" w:noVBand="1"/>
      </w:tblPr>
      <w:tblGrid>
        <w:gridCol w:w="5382"/>
        <w:gridCol w:w="10006"/>
      </w:tblGrid>
      <w:tr w:rsidR="0088694C" w14:paraId="3C001419" w14:textId="77777777" w:rsidTr="0088694C">
        <w:tc>
          <w:tcPr>
            <w:tcW w:w="15388" w:type="dxa"/>
            <w:gridSpan w:val="2"/>
            <w:shd w:val="clear" w:color="auto" w:fill="F4DCEF"/>
            <w:tcMar>
              <w:top w:w="85" w:type="dxa"/>
              <w:bottom w:w="85" w:type="dxa"/>
            </w:tcMar>
            <w:vAlign w:val="center"/>
          </w:tcPr>
          <w:p w14:paraId="78E9CA3A" w14:textId="77777777" w:rsidR="0088694C" w:rsidRPr="002A0ED1" w:rsidRDefault="0088694C" w:rsidP="00210EE6">
            <w:pPr>
              <w:rPr>
                <w:b/>
                <w:lang w:val="en-US"/>
              </w:rPr>
            </w:pPr>
            <w:r w:rsidRPr="0088694C">
              <w:rPr>
                <w:b/>
                <w:sz w:val="24"/>
                <w:lang w:val="en-US"/>
              </w:rPr>
              <w:lastRenderedPageBreak/>
              <w:t>Preparing for an End-Point Assessment</w:t>
            </w:r>
          </w:p>
        </w:tc>
      </w:tr>
      <w:tr w:rsidR="0088694C" w14:paraId="3CC291FB" w14:textId="77777777" w:rsidTr="0088694C">
        <w:tc>
          <w:tcPr>
            <w:tcW w:w="5382" w:type="dxa"/>
            <w:shd w:val="clear" w:color="auto" w:fill="F2F2F2" w:themeFill="background1" w:themeFillShade="F2"/>
            <w:tcMar>
              <w:top w:w="85" w:type="dxa"/>
              <w:bottom w:w="85" w:type="dxa"/>
            </w:tcMar>
            <w:vAlign w:val="center"/>
          </w:tcPr>
          <w:p w14:paraId="6A0FD4D4" w14:textId="77777777" w:rsidR="0088694C" w:rsidRPr="002A0ED1" w:rsidRDefault="0088694C" w:rsidP="00210EE6">
            <w:pPr>
              <w:rPr>
                <w:b/>
                <w:lang w:val="en-US"/>
              </w:rPr>
            </w:pPr>
            <w:r w:rsidRPr="002A0ED1">
              <w:rPr>
                <w:b/>
                <w:lang w:val="en-US"/>
              </w:rPr>
              <w:t>Question</w:t>
            </w:r>
          </w:p>
        </w:tc>
        <w:tc>
          <w:tcPr>
            <w:tcW w:w="10006" w:type="dxa"/>
            <w:shd w:val="clear" w:color="auto" w:fill="F2F2F2" w:themeFill="background1" w:themeFillShade="F2"/>
            <w:tcMar>
              <w:top w:w="85" w:type="dxa"/>
              <w:bottom w:w="85" w:type="dxa"/>
            </w:tcMar>
            <w:vAlign w:val="center"/>
          </w:tcPr>
          <w:p w14:paraId="7C64A95F" w14:textId="77777777" w:rsidR="0088694C" w:rsidRPr="002A0ED1" w:rsidRDefault="0088694C" w:rsidP="00210EE6">
            <w:pPr>
              <w:rPr>
                <w:b/>
                <w:lang w:val="en-US"/>
              </w:rPr>
            </w:pPr>
            <w:r w:rsidRPr="002A0ED1">
              <w:rPr>
                <w:b/>
                <w:lang w:val="en-US"/>
              </w:rPr>
              <w:t>Answer</w:t>
            </w:r>
          </w:p>
        </w:tc>
      </w:tr>
      <w:tr w:rsidR="0088694C" w14:paraId="2BD2FB7C" w14:textId="77777777" w:rsidTr="00C33E71">
        <w:tc>
          <w:tcPr>
            <w:tcW w:w="5382" w:type="dxa"/>
            <w:tcMar>
              <w:top w:w="142" w:type="dxa"/>
              <w:bottom w:w="142" w:type="dxa"/>
            </w:tcMar>
            <w:vAlign w:val="center"/>
          </w:tcPr>
          <w:p w14:paraId="0F671664" w14:textId="77777777" w:rsidR="0088694C" w:rsidRPr="00E27EC4" w:rsidRDefault="0088694C" w:rsidP="0088694C">
            <w:r w:rsidRPr="00E27EC4">
              <w:t>What needs to be presented to the Apprenticeship Assessor on the day of the End-point Assessment?</w:t>
            </w:r>
          </w:p>
        </w:tc>
        <w:tc>
          <w:tcPr>
            <w:tcW w:w="10006" w:type="dxa"/>
            <w:tcMar>
              <w:top w:w="142" w:type="dxa"/>
              <w:bottom w:w="142" w:type="dxa"/>
            </w:tcMar>
            <w:vAlign w:val="center"/>
          </w:tcPr>
          <w:p w14:paraId="00D2A365" w14:textId="77777777" w:rsidR="0088694C" w:rsidRPr="000A1BF9" w:rsidRDefault="0088694C" w:rsidP="0088694C">
            <w:r w:rsidRPr="000A1BF9">
              <w:t>A valid form of photographic ID for the apprentice, completed and signed Client Declaration Forms and the apprentice’s End-point Assessment Schedule.</w:t>
            </w:r>
          </w:p>
        </w:tc>
      </w:tr>
      <w:tr w:rsidR="0088694C" w14:paraId="696661C5" w14:textId="77777777" w:rsidTr="00C33E71">
        <w:tc>
          <w:tcPr>
            <w:tcW w:w="5382" w:type="dxa"/>
            <w:tcMar>
              <w:top w:w="142" w:type="dxa"/>
              <w:bottom w:w="142" w:type="dxa"/>
            </w:tcMar>
            <w:vAlign w:val="center"/>
          </w:tcPr>
          <w:p w14:paraId="58069AD0" w14:textId="77777777" w:rsidR="0088694C" w:rsidRPr="00E27EC4" w:rsidRDefault="0088694C" w:rsidP="0088694C">
            <w:r w:rsidRPr="00E27EC4">
              <w:t>What would happen if the documentation presented to the Apprenticeship Assessor was incomplete?</w:t>
            </w:r>
          </w:p>
        </w:tc>
        <w:tc>
          <w:tcPr>
            <w:tcW w:w="10006" w:type="dxa"/>
            <w:tcMar>
              <w:top w:w="142" w:type="dxa"/>
              <w:bottom w:w="142" w:type="dxa"/>
            </w:tcMar>
            <w:vAlign w:val="center"/>
          </w:tcPr>
          <w:p w14:paraId="106E0FF2" w14:textId="77777777" w:rsidR="0088694C" w:rsidRPr="000A1BF9" w:rsidRDefault="0088694C" w:rsidP="0088694C">
            <w:r w:rsidRPr="000A1BF9">
              <w:t xml:space="preserve">The End-point Assessment could not go ahead if the apprentice’s schedule or Client Declaration Forms were not completed. </w:t>
            </w:r>
          </w:p>
        </w:tc>
      </w:tr>
      <w:tr w:rsidR="0088694C" w14:paraId="4D6F683C" w14:textId="77777777" w:rsidTr="00C33E71">
        <w:tc>
          <w:tcPr>
            <w:tcW w:w="5382" w:type="dxa"/>
            <w:tcMar>
              <w:top w:w="142" w:type="dxa"/>
              <w:bottom w:w="142" w:type="dxa"/>
            </w:tcMar>
            <w:vAlign w:val="center"/>
          </w:tcPr>
          <w:p w14:paraId="17C1BEE0" w14:textId="77777777" w:rsidR="0088694C" w:rsidRDefault="0088694C" w:rsidP="0088694C">
            <w:r w:rsidRPr="00E27EC4">
              <w:t xml:space="preserve">Who can be the Exam Assistant on the day of the </w:t>
            </w:r>
            <w:r>
              <w:br/>
            </w:r>
            <w:r w:rsidRPr="00E27EC4">
              <w:t>End-point Assessment?</w:t>
            </w:r>
          </w:p>
        </w:tc>
        <w:tc>
          <w:tcPr>
            <w:tcW w:w="10006" w:type="dxa"/>
            <w:tcMar>
              <w:top w:w="142" w:type="dxa"/>
              <w:bottom w:w="142" w:type="dxa"/>
            </w:tcMar>
            <w:vAlign w:val="center"/>
          </w:tcPr>
          <w:p w14:paraId="7EC457F6" w14:textId="77777777" w:rsidR="0088694C" w:rsidRDefault="0088694C" w:rsidP="0088694C">
            <w:r w:rsidRPr="000A1BF9">
              <w:t xml:space="preserve">Anyone with a working knowledge of the venue can be the exam assistant. The exam assistant should not have contact with the apprentice directly and will need to be available before, during and after the End-point Assessment.   </w:t>
            </w:r>
          </w:p>
        </w:tc>
      </w:tr>
      <w:tr w:rsidR="0088694C" w14:paraId="472CC424" w14:textId="77777777" w:rsidTr="00C33E71">
        <w:tc>
          <w:tcPr>
            <w:tcW w:w="5382" w:type="dxa"/>
            <w:tcMar>
              <w:top w:w="142" w:type="dxa"/>
              <w:bottom w:w="142" w:type="dxa"/>
            </w:tcMar>
            <w:vAlign w:val="center"/>
          </w:tcPr>
          <w:p w14:paraId="45FEA6FB" w14:textId="1FE2EDDC" w:rsidR="0088694C" w:rsidRPr="0072258A" w:rsidRDefault="007033B3" w:rsidP="007033B3">
            <w:r>
              <w:t>Are</w:t>
            </w:r>
            <w:r w:rsidRPr="0072258A">
              <w:t xml:space="preserve"> </w:t>
            </w:r>
            <w:r w:rsidR="0088694C" w:rsidRPr="0072258A">
              <w:t>there centre /apprentice End-point Assessment schedules that training providers can use?</w:t>
            </w:r>
          </w:p>
        </w:tc>
        <w:tc>
          <w:tcPr>
            <w:tcW w:w="10006" w:type="dxa"/>
            <w:tcMar>
              <w:top w:w="142" w:type="dxa"/>
              <w:bottom w:w="142" w:type="dxa"/>
            </w:tcMar>
            <w:vAlign w:val="center"/>
          </w:tcPr>
          <w:p w14:paraId="5558B536" w14:textId="77777777" w:rsidR="0088694C" w:rsidRPr="00603277" w:rsidRDefault="0088694C" w:rsidP="0088694C">
            <w:r w:rsidRPr="00603277">
              <w:t>Yes, VTCT has produced template End-point Assessment schedules for centres and apprentices, both are available on the VTCT website.</w:t>
            </w:r>
          </w:p>
        </w:tc>
      </w:tr>
      <w:tr w:rsidR="0088694C" w14:paraId="42410FBD" w14:textId="77777777" w:rsidTr="00C33E71">
        <w:tc>
          <w:tcPr>
            <w:tcW w:w="5382" w:type="dxa"/>
            <w:tcMar>
              <w:top w:w="142" w:type="dxa"/>
              <w:bottom w:w="142" w:type="dxa"/>
            </w:tcMar>
            <w:vAlign w:val="center"/>
          </w:tcPr>
          <w:p w14:paraId="1B6D65A8" w14:textId="77777777" w:rsidR="0088694C" w:rsidRDefault="0088694C" w:rsidP="0088694C">
            <w:r w:rsidRPr="0072258A">
              <w:t>What should the centre’s End-point Assessment schedule include?</w:t>
            </w:r>
          </w:p>
        </w:tc>
        <w:tc>
          <w:tcPr>
            <w:tcW w:w="10006" w:type="dxa"/>
            <w:tcMar>
              <w:top w:w="142" w:type="dxa"/>
              <w:bottom w:w="142" w:type="dxa"/>
            </w:tcMar>
            <w:vAlign w:val="center"/>
          </w:tcPr>
          <w:p w14:paraId="4EE1A9EF" w14:textId="475B0177" w:rsidR="0088694C" w:rsidRDefault="0088694C" w:rsidP="000639F6">
            <w:r w:rsidRPr="00603277">
              <w:t>The centre End-point Assessment schedule should be a general running order of the day including: times</w:t>
            </w:r>
            <w:r w:rsidR="000639F6">
              <w:t xml:space="preserve"> and the s</w:t>
            </w:r>
            <w:r w:rsidRPr="00603277">
              <w:t>ervices to be carried out</w:t>
            </w:r>
            <w:r w:rsidR="000639F6">
              <w:t>.</w:t>
            </w:r>
          </w:p>
        </w:tc>
      </w:tr>
      <w:tr w:rsidR="0088694C" w14:paraId="5A19AA1F" w14:textId="77777777" w:rsidTr="00C33E71">
        <w:tc>
          <w:tcPr>
            <w:tcW w:w="5382" w:type="dxa"/>
            <w:tcMar>
              <w:top w:w="142" w:type="dxa"/>
              <w:bottom w:w="142" w:type="dxa"/>
            </w:tcMar>
            <w:vAlign w:val="center"/>
          </w:tcPr>
          <w:p w14:paraId="55059E4D" w14:textId="77777777" w:rsidR="0088694C" w:rsidRPr="00DF694E" w:rsidRDefault="0088694C" w:rsidP="0088694C">
            <w:r w:rsidRPr="00DF694E">
              <w:t>When should the Centre End-point Assessment schedule be sent into VTCT?</w:t>
            </w:r>
          </w:p>
        </w:tc>
        <w:tc>
          <w:tcPr>
            <w:tcW w:w="10006" w:type="dxa"/>
            <w:tcMar>
              <w:top w:w="142" w:type="dxa"/>
              <w:bottom w:w="142" w:type="dxa"/>
            </w:tcMar>
            <w:vAlign w:val="center"/>
          </w:tcPr>
          <w:p w14:paraId="5396C53D" w14:textId="77777777" w:rsidR="0088694C" w:rsidRPr="00471DF6" w:rsidRDefault="0088694C" w:rsidP="0088694C">
            <w:r w:rsidRPr="00471DF6">
              <w:t>The centre End-point Assessment schedule should be sent in two weeks prior to the date of the End-point Assessment so that the Apprenticeship Assessor can review this. In the case that any concerns are raised by the Apprenticeship Assessor, the End-point Assessment team would then be in contact with the training provider.</w:t>
            </w:r>
          </w:p>
        </w:tc>
      </w:tr>
      <w:tr w:rsidR="0088694C" w14:paraId="174E7001" w14:textId="77777777" w:rsidTr="00C33E71">
        <w:tc>
          <w:tcPr>
            <w:tcW w:w="5382" w:type="dxa"/>
            <w:tcMar>
              <w:top w:w="142" w:type="dxa"/>
              <w:bottom w:w="142" w:type="dxa"/>
            </w:tcMar>
            <w:vAlign w:val="center"/>
          </w:tcPr>
          <w:p w14:paraId="25A055DC" w14:textId="76792F01" w:rsidR="0088694C" w:rsidRPr="00DF694E" w:rsidRDefault="000639F6" w:rsidP="000639F6">
            <w:r>
              <w:t>Can the clients be known to the apprentice</w:t>
            </w:r>
            <w:r w:rsidR="0088694C" w:rsidRPr="00DF694E">
              <w:t>?</w:t>
            </w:r>
          </w:p>
        </w:tc>
        <w:tc>
          <w:tcPr>
            <w:tcW w:w="10006" w:type="dxa"/>
            <w:tcMar>
              <w:top w:w="142" w:type="dxa"/>
              <w:bottom w:w="142" w:type="dxa"/>
            </w:tcMar>
            <w:vAlign w:val="center"/>
          </w:tcPr>
          <w:p w14:paraId="130A904C" w14:textId="59FC90F9" w:rsidR="0088694C" w:rsidRPr="00471DF6" w:rsidRDefault="0088694C" w:rsidP="000639F6">
            <w:r w:rsidRPr="00471DF6">
              <w:t>Yes, clients can be</w:t>
            </w:r>
            <w:r w:rsidR="000639F6">
              <w:t xml:space="preserve"> known to the apprentice. </w:t>
            </w:r>
            <w:r w:rsidRPr="00471DF6">
              <w:t xml:space="preserve"> </w:t>
            </w:r>
          </w:p>
        </w:tc>
      </w:tr>
      <w:tr w:rsidR="0088694C" w14:paraId="12D9B72A" w14:textId="77777777" w:rsidTr="00C33E71">
        <w:tc>
          <w:tcPr>
            <w:tcW w:w="5382" w:type="dxa"/>
            <w:tcMar>
              <w:top w:w="142" w:type="dxa"/>
              <w:bottom w:w="142" w:type="dxa"/>
            </w:tcMar>
            <w:vAlign w:val="center"/>
          </w:tcPr>
          <w:p w14:paraId="372B9946" w14:textId="77777777" w:rsidR="0088694C" w:rsidRDefault="0088694C" w:rsidP="0088694C">
            <w:r w:rsidRPr="00DF694E">
              <w:t>What would happen in the case that the apprentice does not meet the minimum health and safety standards?</w:t>
            </w:r>
          </w:p>
        </w:tc>
        <w:tc>
          <w:tcPr>
            <w:tcW w:w="10006" w:type="dxa"/>
            <w:tcMar>
              <w:top w:w="142" w:type="dxa"/>
              <w:bottom w:w="142" w:type="dxa"/>
            </w:tcMar>
            <w:vAlign w:val="center"/>
          </w:tcPr>
          <w:p w14:paraId="1EA3F423" w14:textId="5FCBD435" w:rsidR="0088694C" w:rsidRDefault="0088694C" w:rsidP="007033B3">
            <w:r w:rsidRPr="00471DF6">
              <w:t xml:space="preserve">If the Apprenticeship Assessor believes there to be a risk relating to health and safety, then the End-point Assessment will be stopped. If the risks are appropriately addressed the End-point Assessment may continue.  The Apprenticeship Assessor will make a </w:t>
            </w:r>
            <w:r w:rsidR="007033B3">
              <w:t>judgement</w:t>
            </w:r>
            <w:r w:rsidR="007033B3" w:rsidRPr="00471DF6">
              <w:t xml:space="preserve"> </w:t>
            </w:r>
            <w:r w:rsidRPr="00471DF6">
              <w:t xml:space="preserve">on whether the End-point Assessment can continue or not. </w:t>
            </w:r>
          </w:p>
        </w:tc>
      </w:tr>
      <w:tr w:rsidR="0088694C" w14:paraId="73504BC6" w14:textId="77777777" w:rsidTr="00C33E71">
        <w:tc>
          <w:tcPr>
            <w:tcW w:w="5382" w:type="dxa"/>
            <w:tcMar>
              <w:top w:w="142" w:type="dxa"/>
              <w:bottom w:w="142" w:type="dxa"/>
            </w:tcMar>
            <w:vAlign w:val="center"/>
          </w:tcPr>
          <w:p w14:paraId="45546E92" w14:textId="77777777" w:rsidR="0088694C" w:rsidRPr="003B7C9E" w:rsidRDefault="0088694C" w:rsidP="0088694C">
            <w:r w:rsidRPr="003B7C9E">
              <w:lastRenderedPageBreak/>
              <w:t>Should the apprentice wear a uniform for the End-point Assessment?</w:t>
            </w:r>
          </w:p>
        </w:tc>
        <w:tc>
          <w:tcPr>
            <w:tcW w:w="10006" w:type="dxa"/>
            <w:tcMar>
              <w:top w:w="142" w:type="dxa"/>
              <w:bottom w:w="142" w:type="dxa"/>
            </w:tcMar>
            <w:vAlign w:val="center"/>
          </w:tcPr>
          <w:p w14:paraId="5322A63D" w14:textId="77777777" w:rsidR="0088694C" w:rsidRPr="00174021" w:rsidRDefault="0088694C" w:rsidP="0088694C">
            <w:r w:rsidRPr="00174021">
              <w:t>Apprentices are expected to look professional and wear their usual salon/ training academy uniform on the day of the End-point Assessment. This must be in accordance with health and safety requirements (no open toe shoes).</w:t>
            </w:r>
          </w:p>
        </w:tc>
      </w:tr>
      <w:tr w:rsidR="0088694C" w14:paraId="6C3CA6DC" w14:textId="77777777" w:rsidTr="00C33E71">
        <w:tc>
          <w:tcPr>
            <w:tcW w:w="5382" w:type="dxa"/>
            <w:tcMar>
              <w:top w:w="142" w:type="dxa"/>
              <w:bottom w:w="142" w:type="dxa"/>
            </w:tcMar>
            <w:vAlign w:val="center"/>
          </w:tcPr>
          <w:p w14:paraId="6A77CE0F" w14:textId="2F944774" w:rsidR="0088694C" w:rsidRPr="003B7C9E" w:rsidRDefault="0088694C" w:rsidP="000639F6">
            <w:r w:rsidRPr="003B7C9E">
              <w:t xml:space="preserve">Are male clients suitable for the </w:t>
            </w:r>
            <w:r w:rsidR="000639F6">
              <w:t>End-point Assessment</w:t>
            </w:r>
            <w:r w:rsidRPr="003B7C9E">
              <w:t>?</w:t>
            </w:r>
          </w:p>
        </w:tc>
        <w:tc>
          <w:tcPr>
            <w:tcW w:w="10006" w:type="dxa"/>
            <w:tcMar>
              <w:top w:w="142" w:type="dxa"/>
              <w:bottom w:w="142" w:type="dxa"/>
            </w:tcMar>
            <w:vAlign w:val="center"/>
          </w:tcPr>
          <w:p w14:paraId="1128FB48" w14:textId="6FBCCBFC" w:rsidR="0088694C" w:rsidRPr="00174021" w:rsidRDefault="0088694C" w:rsidP="0088694C">
            <w:r w:rsidRPr="00174021">
              <w:t xml:space="preserve">Yes, male clients can be used for the End-point Assessment as long as they meet the requirements of the </w:t>
            </w:r>
            <w:r w:rsidR="000639F6">
              <w:t xml:space="preserve">Advanced and Creative </w:t>
            </w:r>
            <w:r w:rsidRPr="00174021">
              <w:t xml:space="preserve">Hair Professional Assessment Plan.  </w:t>
            </w:r>
          </w:p>
        </w:tc>
      </w:tr>
      <w:tr w:rsidR="0088694C" w14:paraId="56DCDFD1" w14:textId="77777777" w:rsidTr="00C33E71">
        <w:tc>
          <w:tcPr>
            <w:tcW w:w="5382" w:type="dxa"/>
            <w:tcMar>
              <w:top w:w="142" w:type="dxa"/>
              <w:bottom w:w="142" w:type="dxa"/>
            </w:tcMar>
            <w:vAlign w:val="center"/>
          </w:tcPr>
          <w:p w14:paraId="6C7AEF4D" w14:textId="77777777" w:rsidR="0088694C" w:rsidRDefault="0088694C" w:rsidP="0088694C">
            <w:r w:rsidRPr="003B7C9E">
              <w:t>Can the apprentice use more than one client?</w:t>
            </w:r>
          </w:p>
        </w:tc>
        <w:tc>
          <w:tcPr>
            <w:tcW w:w="10006" w:type="dxa"/>
            <w:tcMar>
              <w:top w:w="142" w:type="dxa"/>
              <w:bottom w:w="142" w:type="dxa"/>
            </w:tcMar>
            <w:vAlign w:val="center"/>
          </w:tcPr>
          <w:p w14:paraId="433B5947" w14:textId="36F1A21D" w:rsidR="0088694C" w:rsidRDefault="000639F6" w:rsidP="000639F6">
            <w:r>
              <w:t>T</w:t>
            </w:r>
            <w:r w:rsidR="0088694C" w:rsidRPr="00174021">
              <w:t xml:space="preserve">he </w:t>
            </w:r>
            <w:r>
              <w:t xml:space="preserve">Advanced and Creative </w:t>
            </w:r>
            <w:r w:rsidRPr="00174021">
              <w:t xml:space="preserve">Hair Professional Assessment Plan </w:t>
            </w:r>
            <w:r w:rsidR="0088694C" w:rsidRPr="00174021">
              <w:t>requires a</w:t>
            </w:r>
            <w:r>
              <w:t xml:space="preserve"> minimum of </w:t>
            </w:r>
            <w:r w:rsidRPr="000639F6">
              <w:rPr>
                <w:b/>
              </w:rPr>
              <w:t>one</w:t>
            </w:r>
            <w:r>
              <w:t xml:space="preserve"> client</w:t>
            </w:r>
            <w:r w:rsidR="0088694C" w:rsidRPr="00174021">
              <w:t>.</w:t>
            </w:r>
            <w:r>
              <w:t xml:space="preserve"> The apprentice can use two if they wish. </w:t>
            </w:r>
          </w:p>
        </w:tc>
      </w:tr>
      <w:tr w:rsidR="0088694C" w14:paraId="05090C88" w14:textId="77777777" w:rsidTr="00C33E71">
        <w:tc>
          <w:tcPr>
            <w:tcW w:w="5382" w:type="dxa"/>
            <w:tcMar>
              <w:top w:w="142" w:type="dxa"/>
              <w:bottom w:w="142" w:type="dxa"/>
            </w:tcMar>
            <w:vAlign w:val="center"/>
          </w:tcPr>
          <w:p w14:paraId="72834BC2" w14:textId="1DCE6458" w:rsidR="0088694C" w:rsidRPr="00EE312A" w:rsidRDefault="0088694C" w:rsidP="007033B3">
            <w:r w:rsidRPr="00EE312A">
              <w:t>Do</w:t>
            </w:r>
            <w:r w:rsidR="000639F6">
              <w:t>es</w:t>
            </w:r>
            <w:r w:rsidRPr="00EE312A">
              <w:t xml:space="preserve"> the client need to be present for all of the End-point Assessment?</w:t>
            </w:r>
          </w:p>
        </w:tc>
        <w:tc>
          <w:tcPr>
            <w:tcW w:w="10006" w:type="dxa"/>
            <w:tcMar>
              <w:top w:w="142" w:type="dxa"/>
              <w:bottom w:w="142" w:type="dxa"/>
            </w:tcMar>
            <w:vAlign w:val="center"/>
          </w:tcPr>
          <w:p w14:paraId="31FE54D4" w14:textId="084DF51C" w:rsidR="0088694C" w:rsidRPr="004118FE" w:rsidRDefault="0088694C" w:rsidP="0088694C">
            <w:r w:rsidRPr="004118FE">
              <w:t>T</w:t>
            </w:r>
            <w:r w:rsidR="000639F6">
              <w:t>he client is</w:t>
            </w:r>
            <w:r w:rsidRPr="004118FE">
              <w:t xml:space="preserve"> only required to be present for the section of the End-point Assessment that they are required for.</w:t>
            </w:r>
          </w:p>
        </w:tc>
      </w:tr>
      <w:tr w:rsidR="0088694C" w14:paraId="3A41A574" w14:textId="77777777" w:rsidTr="00C33E71">
        <w:tc>
          <w:tcPr>
            <w:tcW w:w="5382" w:type="dxa"/>
            <w:tcMar>
              <w:top w:w="142" w:type="dxa"/>
              <w:bottom w:w="142" w:type="dxa"/>
            </w:tcMar>
            <w:vAlign w:val="center"/>
          </w:tcPr>
          <w:p w14:paraId="473263C5" w14:textId="77777777" w:rsidR="0088694C" w:rsidRPr="00EE312A" w:rsidRDefault="0088694C" w:rsidP="0088694C">
            <w:r w:rsidRPr="00EE312A">
              <w:t>Can background music be played?</w:t>
            </w:r>
          </w:p>
        </w:tc>
        <w:tc>
          <w:tcPr>
            <w:tcW w:w="10006" w:type="dxa"/>
            <w:tcMar>
              <w:top w:w="142" w:type="dxa"/>
              <w:bottom w:w="142" w:type="dxa"/>
            </w:tcMar>
            <w:vAlign w:val="center"/>
          </w:tcPr>
          <w:p w14:paraId="732A5667" w14:textId="77777777" w:rsidR="0088694C" w:rsidRPr="004118FE" w:rsidRDefault="0088694C" w:rsidP="0088694C">
            <w:r w:rsidRPr="004118FE">
              <w:t xml:space="preserve">It is acceptable for music to be on in the background of the End-point Assessment. </w:t>
            </w:r>
          </w:p>
        </w:tc>
      </w:tr>
      <w:tr w:rsidR="0088694C" w14:paraId="4C358563" w14:textId="77777777" w:rsidTr="00C33E71">
        <w:tc>
          <w:tcPr>
            <w:tcW w:w="5382" w:type="dxa"/>
            <w:tcMar>
              <w:top w:w="142" w:type="dxa"/>
              <w:bottom w:w="142" w:type="dxa"/>
            </w:tcMar>
            <w:vAlign w:val="center"/>
          </w:tcPr>
          <w:p w14:paraId="03752CAF" w14:textId="77777777" w:rsidR="0088694C" w:rsidRPr="00EE312A" w:rsidRDefault="0088694C" w:rsidP="0088694C">
            <w:r w:rsidRPr="00EE312A">
              <w:t xml:space="preserve">Does the salon need to be closed for the End-point Assessment? </w:t>
            </w:r>
          </w:p>
        </w:tc>
        <w:tc>
          <w:tcPr>
            <w:tcW w:w="10006" w:type="dxa"/>
            <w:tcMar>
              <w:top w:w="142" w:type="dxa"/>
              <w:bottom w:w="142" w:type="dxa"/>
            </w:tcMar>
            <w:vAlign w:val="center"/>
          </w:tcPr>
          <w:p w14:paraId="413FEB5F" w14:textId="77777777" w:rsidR="0088694C" w:rsidRPr="004118FE" w:rsidRDefault="0088694C" w:rsidP="0088694C">
            <w:r w:rsidRPr="004118FE">
              <w:t xml:space="preserve">The salon does not need to be closed, however the apprentice must have a dedicated space for their End-point Assessment and have no direct distractions. </w:t>
            </w:r>
          </w:p>
        </w:tc>
      </w:tr>
      <w:tr w:rsidR="0088694C" w14:paraId="49DFE1C0" w14:textId="77777777" w:rsidTr="00C33E71">
        <w:tc>
          <w:tcPr>
            <w:tcW w:w="5382" w:type="dxa"/>
            <w:tcMar>
              <w:top w:w="142" w:type="dxa"/>
              <w:bottom w:w="142" w:type="dxa"/>
            </w:tcMar>
            <w:vAlign w:val="center"/>
          </w:tcPr>
          <w:p w14:paraId="3C4AF3B1" w14:textId="77777777" w:rsidR="0088694C" w:rsidRDefault="0088694C" w:rsidP="0088694C">
            <w:r w:rsidRPr="00EE312A">
              <w:t>Is there a minimum age requirement for the clients?</w:t>
            </w:r>
          </w:p>
        </w:tc>
        <w:tc>
          <w:tcPr>
            <w:tcW w:w="10006" w:type="dxa"/>
            <w:tcMar>
              <w:top w:w="142" w:type="dxa"/>
              <w:bottom w:w="142" w:type="dxa"/>
            </w:tcMar>
            <w:vAlign w:val="center"/>
          </w:tcPr>
          <w:p w14:paraId="2273A724" w14:textId="77777777" w:rsidR="0088694C" w:rsidRDefault="0088694C" w:rsidP="0088694C">
            <w:r w:rsidRPr="004118FE">
              <w:t>The clients must be a minimum of 16 years old.</w:t>
            </w:r>
          </w:p>
        </w:tc>
      </w:tr>
      <w:tr w:rsidR="0088694C" w14:paraId="1F7F3F17" w14:textId="77777777" w:rsidTr="00C33E71">
        <w:tc>
          <w:tcPr>
            <w:tcW w:w="5382" w:type="dxa"/>
            <w:tcMar>
              <w:top w:w="142" w:type="dxa"/>
              <w:bottom w:w="142" w:type="dxa"/>
            </w:tcMar>
            <w:vAlign w:val="center"/>
          </w:tcPr>
          <w:p w14:paraId="2CE45C24" w14:textId="77777777" w:rsidR="0088694C" w:rsidRPr="00D47B4E" w:rsidRDefault="0088694C" w:rsidP="0088694C">
            <w:r w:rsidRPr="00D47B4E">
              <w:t>Can the Exam Assistant continue their working day?</w:t>
            </w:r>
          </w:p>
        </w:tc>
        <w:tc>
          <w:tcPr>
            <w:tcW w:w="10006" w:type="dxa"/>
            <w:tcMar>
              <w:top w:w="142" w:type="dxa"/>
              <w:bottom w:w="142" w:type="dxa"/>
            </w:tcMar>
            <w:vAlign w:val="center"/>
          </w:tcPr>
          <w:p w14:paraId="4FAF9F4D" w14:textId="77777777" w:rsidR="0088694C" w:rsidRPr="00A872F5" w:rsidRDefault="0088694C" w:rsidP="0088694C">
            <w:r w:rsidRPr="00A872F5">
              <w:t xml:space="preserve">The Exam Assistant can, within reason, continue with their working day. The Exam Assistant must be available at all times in the case that they are needed by the Apprenticeship Assessor. </w:t>
            </w:r>
          </w:p>
        </w:tc>
      </w:tr>
    </w:tbl>
    <w:p w14:paraId="255421F0" w14:textId="77777777" w:rsidR="0088694C" w:rsidRDefault="0088694C" w:rsidP="006A3FBE">
      <w:pPr>
        <w:rPr>
          <w:rFonts w:cs="Arial"/>
          <w:szCs w:val="20"/>
          <w:lang w:val="en-US"/>
        </w:rPr>
      </w:pPr>
    </w:p>
    <w:p w14:paraId="27A6BB25" w14:textId="77777777" w:rsidR="0088694C" w:rsidRDefault="0088694C">
      <w:pPr>
        <w:rPr>
          <w:rFonts w:cs="Arial"/>
          <w:szCs w:val="20"/>
          <w:lang w:val="en-US"/>
        </w:rPr>
      </w:pPr>
      <w:r>
        <w:rPr>
          <w:rFonts w:cs="Arial"/>
          <w:szCs w:val="20"/>
          <w:lang w:val="en-US"/>
        </w:rPr>
        <w:br w:type="page"/>
      </w:r>
    </w:p>
    <w:tbl>
      <w:tblPr>
        <w:tblStyle w:val="TableGrid"/>
        <w:tblW w:w="0" w:type="auto"/>
        <w:tblLayout w:type="fixed"/>
        <w:tblLook w:val="04A0" w:firstRow="1" w:lastRow="0" w:firstColumn="1" w:lastColumn="0" w:noHBand="0" w:noVBand="1"/>
      </w:tblPr>
      <w:tblGrid>
        <w:gridCol w:w="5382"/>
        <w:gridCol w:w="10006"/>
      </w:tblGrid>
      <w:tr w:rsidR="0088694C" w14:paraId="6AD03EEC" w14:textId="77777777" w:rsidTr="0088694C">
        <w:tc>
          <w:tcPr>
            <w:tcW w:w="15388" w:type="dxa"/>
            <w:gridSpan w:val="2"/>
            <w:shd w:val="clear" w:color="auto" w:fill="F4DCEF"/>
            <w:tcMar>
              <w:top w:w="85" w:type="dxa"/>
              <w:bottom w:w="85" w:type="dxa"/>
            </w:tcMar>
            <w:vAlign w:val="center"/>
          </w:tcPr>
          <w:p w14:paraId="426654CE" w14:textId="77777777" w:rsidR="0088694C" w:rsidRPr="002A0ED1" w:rsidRDefault="0088694C" w:rsidP="00210EE6">
            <w:pPr>
              <w:rPr>
                <w:b/>
                <w:lang w:val="en-US"/>
              </w:rPr>
            </w:pPr>
            <w:r w:rsidRPr="0088694C">
              <w:rPr>
                <w:b/>
                <w:sz w:val="24"/>
                <w:lang w:val="en-US"/>
              </w:rPr>
              <w:lastRenderedPageBreak/>
              <w:t>End-point Assessment Results</w:t>
            </w:r>
          </w:p>
        </w:tc>
      </w:tr>
      <w:tr w:rsidR="0088694C" w14:paraId="1D2DF911" w14:textId="77777777" w:rsidTr="0088694C">
        <w:tc>
          <w:tcPr>
            <w:tcW w:w="5382" w:type="dxa"/>
            <w:shd w:val="clear" w:color="auto" w:fill="F2F2F2" w:themeFill="background1" w:themeFillShade="F2"/>
            <w:tcMar>
              <w:top w:w="85" w:type="dxa"/>
              <w:bottom w:w="85" w:type="dxa"/>
            </w:tcMar>
            <w:vAlign w:val="center"/>
          </w:tcPr>
          <w:p w14:paraId="520AC6A4" w14:textId="77777777" w:rsidR="0088694C" w:rsidRPr="002A0ED1" w:rsidRDefault="0088694C" w:rsidP="00210EE6">
            <w:pPr>
              <w:rPr>
                <w:b/>
                <w:lang w:val="en-US"/>
              </w:rPr>
            </w:pPr>
            <w:r w:rsidRPr="002A0ED1">
              <w:rPr>
                <w:b/>
                <w:lang w:val="en-US"/>
              </w:rPr>
              <w:t>Question</w:t>
            </w:r>
          </w:p>
        </w:tc>
        <w:tc>
          <w:tcPr>
            <w:tcW w:w="10006" w:type="dxa"/>
            <w:shd w:val="clear" w:color="auto" w:fill="F2F2F2" w:themeFill="background1" w:themeFillShade="F2"/>
            <w:tcMar>
              <w:top w:w="85" w:type="dxa"/>
              <w:bottom w:w="85" w:type="dxa"/>
            </w:tcMar>
            <w:vAlign w:val="center"/>
          </w:tcPr>
          <w:p w14:paraId="0273526E" w14:textId="77777777" w:rsidR="0088694C" w:rsidRPr="002A0ED1" w:rsidRDefault="0088694C" w:rsidP="00210EE6">
            <w:pPr>
              <w:rPr>
                <w:b/>
                <w:lang w:val="en-US"/>
              </w:rPr>
            </w:pPr>
            <w:r w:rsidRPr="002A0ED1">
              <w:rPr>
                <w:b/>
                <w:lang w:val="en-US"/>
              </w:rPr>
              <w:t>Answer</w:t>
            </w:r>
          </w:p>
        </w:tc>
      </w:tr>
      <w:tr w:rsidR="0088694C" w14:paraId="1D378213" w14:textId="77777777" w:rsidTr="00C33E71">
        <w:tc>
          <w:tcPr>
            <w:tcW w:w="5382" w:type="dxa"/>
            <w:tcMar>
              <w:top w:w="142" w:type="dxa"/>
              <w:bottom w:w="142" w:type="dxa"/>
            </w:tcMar>
            <w:vAlign w:val="center"/>
          </w:tcPr>
          <w:p w14:paraId="07B8B003" w14:textId="77777777" w:rsidR="0088694C" w:rsidRPr="001819F8" w:rsidRDefault="0088694C" w:rsidP="0088694C">
            <w:r w:rsidRPr="001819F8">
              <w:t xml:space="preserve">Does the apprentice receive feedback on their End-point Assessment? </w:t>
            </w:r>
          </w:p>
        </w:tc>
        <w:tc>
          <w:tcPr>
            <w:tcW w:w="10006" w:type="dxa"/>
            <w:tcMar>
              <w:top w:w="142" w:type="dxa"/>
              <w:bottom w:w="142" w:type="dxa"/>
            </w:tcMar>
            <w:vAlign w:val="center"/>
          </w:tcPr>
          <w:p w14:paraId="53451B5C" w14:textId="6BDDEA59" w:rsidR="0088694C" w:rsidRPr="00DA659A" w:rsidRDefault="0088694C" w:rsidP="000639F6">
            <w:r w:rsidRPr="00DA659A">
              <w:t xml:space="preserve">The apprentice will receive a feedback report with their grade </w:t>
            </w:r>
            <w:r w:rsidR="000639F6">
              <w:t xml:space="preserve">for each assessment method and overall grade with </w:t>
            </w:r>
            <w:r w:rsidRPr="00DA659A">
              <w:t>commentary on the judgement</w:t>
            </w:r>
            <w:r w:rsidR="000639F6">
              <w:t>s</w:t>
            </w:r>
            <w:r w:rsidRPr="00DA659A">
              <w:t xml:space="preserve"> made by the Apprenticeship Assessor</w:t>
            </w:r>
            <w:r w:rsidR="000639F6">
              <w:t xml:space="preserve"> from what they have observed</w:t>
            </w:r>
            <w:r w:rsidRPr="00DA659A">
              <w:t xml:space="preserve">. </w:t>
            </w:r>
          </w:p>
        </w:tc>
      </w:tr>
      <w:tr w:rsidR="0088694C" w14:paraId="42A5E9B1" w14:textId="77777777" w:rsidTr="00C33E71">
        <w:tc>
          <w:tcPr>
            <w:tcW w:w="5382" w:type="dxa"/>
            <w:tcMar>
              <w:top w:w="142" w:type="dxa"/>
              <w:bottom w:w="142" w:type="dxa"/>
            </w:tcMar>
            <w:vAlign w:val="center"/>
          </w:tcPr>
          <w:p w14:paraId="7585CAB9" w14:textId="77777777" w:rsidR="0088694C" w:rsidRPr="001819F8" w:rsidRDefault="0088694C" w:rsidP="0088694C">
            <w:r w:rsidRPr="001819F8">
              <w:t>Will the apprentice receive feedback on the day of the End-point Assessment?</w:t>
            </w:r>
          </w:p>
        </w:tc>
        <w:tc>
          <w:tcPr>
            <w:tcW w:w="10006" w:type="dxa"/>
            <w:tcMar>
              <w:top w:w="142" w:type="dxa"/>
              <w:bottom w:w="142" w:type="dxa"/>
            </w:tcMar>
            <w:vAlign w:val="center"/>
          </w:tcPr>
          <w:p w14:paraId="28BF0169" w14:textId="77777777" w:rsidR="0088694C" w:rsidRPr="00DA659A" w:rsidRDefault="0088694C" w:rsidP="0088694C">
            <w:r w:rsidRPr="00DA659A">
              <w:t xml:space="preserve">The apprentice will not receive any feedback on the day of the End-point Assessment. </w:t>
            </w:r>
          </w:p>
        </w:tc>
      </w:tr>
      <w:tr w:rsidR="0088694C" w14:paraId="45FD0174" w14:textId="77777777" w:rsidTr="00C33E71">
        <w:tc>
          <w:tcPr>
            <w:tcW w:w="5382" w:type="dxa"/>
            <w:tcMar>
              <w:top w:w="142" w:type="dxa"/>
              <w:bottom w:w="142" w:type="dxa"/>
            </w:tcMar>
            <w:vAlign w:val="center"/>
          </w:tcPr>
          <w:p w14:paraId="72030F41" w14:textId="77777777" w:rsidR="0088694C" w:rsidRPr="001819F8" w:rsidRDefault="0088694C" w:rsidP="0088694C">
            <w:r w:rsidRPr="001819F8">
              <w:t>How long will it take to receive the feedback report?</w:t>
            </w:r>
          </w:p>
        </w:tc>
        <w:tc>
          <w:tcPr>
            <w:tcW w:w="10006" w:type="dxa"/>
            <w:tcMar>
              <w:top w:w="142" w:type="dxa"/>
              <w:bottom w:w="142" w:type="dxa"/>
            </w:tcMar>
            <w:vAlign w:val="center"/>
          </w:tcPr>
          <w:p w14:paraId="7A6D164A" w14:textId="4C878A9F" w:rsidR="0088694C" w:rsidRPr="00DA659A" w:rsidRDefault="0088694C" w:rsidP="0088694C">
            <w:r w:rsidRPr="00DA659A">
              <w:t xml:space="preserve">The feedback report will be available after 15 working days and will be accessible to the training provider/employer in SEPA. The training provider/employer will be sent an email when results are available.   </w:t>
            </w:r>
          </w:p>
        </w:tc>
      </w:tr>
      <w:tr w:rsidR="0088694C" w14:paraId="5E89FBB9" w14:textId="77777777" w:rsidTr="00C33E71">
        <w:tc>
          <w:tcPr>
            <w:tcW w:w="5382" w:type="dxa"/>
            <w:tcMar>
              <w:top w:w="142" w:type="dxa"/>
              <w:bottom w:w="142" w:type="dxa"/>
            </w:tcMar>
            <w:vAlign w:val="center"/>
          </w:tcPr>
          <w:p w14:paraId="0FDE4543" w14:textId="77777777" w:rsidR="0088694C" w:rsidRDefault="0088694C" w:rsidP="0088694C">
            <w:r w:rsidRPr="001819F8">
              <w:t xml:space="preserve">What if I have a query about the End-point Assessment result? </w:t>
            </w:r>
          </w:p>
        </w:tc>
        <w:tc>
          <w:tcPr>
            <w:tcW w:w="10006" w:type="dxa"/>
            <w:tcMar>
              <w:top w:w="142" w:type="dxa"/>
              <w:bottom w:w="142" w:type="dxa"/>
            </w:tcMar>
            <w:vAlign w:val="center"/>
          </w:tcPr>
          <w:p w14:paraId="5D13E01F" w14:textId="7E2E4A8B" w:rsidR="0088694C" w:rsidRDefault="0088694C" w:rsidP="00AF7D0A">
            <w:r w:rsidRPr="00DA659A">
              <w:t>You would need to follow the guidance detailed in the Complaints and Appeals Policy for the End-point Assessm</w:t>
            </w:r>
            <w:r w:rsidR="00E1207B">
              <w:t>ent found under Step 12 on the 12</w:t>
            </w:r>
            <w:r w:rsidRPr="00DA659A">
              <w:t xml:space="preserve"> step process map that can be</w:t>
            </w:r>
            <w:r w:rsidR="00AF7D0A">
              <w:t xml:space="preserve"> accessed </w:t>
            </w:r>
            <w:r w:rsidRPr="00DA659A">
              <w:t xml:space="preserve">on the VTCT website.  </w:t>
            </w:r>
          </w:p>
        </w:tc>
      </w:tr>
    </w:tbl>
    <w:p w14:paraId="6E8AC8B6" w14:textId="77777777" w:rsidR="0088694C" w:rsidRDefault="0088694C" w:rsidP="006A3FBE">
      <w:pPr>
        <w:rPr>
          <w:rFonts w:cs="Arial"/>
          <w:szCs w:val="20"/>
          <w:lang w:val="en-US"/>
        </w:rPr>
      </w:pPr>
    </w:p>
    <w:p w14:paraId="5D42EC85" w14:textId="77777777" w:rsidR="0088694C" w:rsidRDefault="0088694C">
      <w:pPr>
        <w:rPr>
          <w:rFonts w:cs="Arial"/>
          <w:szCs w:val="20"/>
          <w:lang w:val="en-US"/>
        </w:rPr>
      </w:pPr>
      <w:r>
        <w:rPr>
          <w:rFonts w:cs="Arial"/>
          <w:szCs w:val="20"/>
          <w:lang w:val="en-US"/>
        </w:rPr>
        <w:br w:type="page"/>
      </w:r>
    </w:p>
    <w:tbl>
      <w:tblPr>
        <w:tblStyle w:val="TableGrid"/>
        <w:tblW w:w="0" w:type="auto"/>
        <w:tblLayout w:type="fixed"/>
        <w:tblLook w:val="04A0" w:firstRow="1" w:lastRow="0" w:firstColumn="1" w:lastColumn="0" w:noHBand="0" w:noVBand="1"/>
      </w:tblPr>
      <w:tblGrid>
        <w:gridCol w:w="5382"/>
        <w:gridCol w:w="10006"/>
      </w:tblGrid>
      <w:tr w:rsidR="0088694C" w14:paraId="0BEB27C1" w14:textId="77777777" w:rsidTr="00210EE6">
        <w:tc>
          <w:tcPr>
            <w:tcW w:w="15388" w:type="dxa"/>
            <w:gridSpan w:val="2"/>
            <w:shd w:val="clear" w:color="auto" w:fill="F4DCEF"/>
            <w:tcMar>
              <w:top w:w="85" w:type="dxa"/>
              <w:bottom w:w="85" w:type="dxa"/>
            </w:tcMar>
            <w:vAlign w:val="center"/>
          </w:tcPr>
          <w:p w14:paraId="6B7894A3" w14:textId="77777777" w:rsidR="0088694C" w:rsidRPr="002A0ED1" w:rsidRDefault="0088694C" w:rsidP="00210EE6">
            <w:pPr>
              <w:rPr>
                <w:b/>
                <w:lang w:val="en-US"/>
              </w:rPr>
            </w:pPr>
            <w:r w:rsidRPr="0088694C">
              <w:rPr>
                <w:b/>
                <w:sz w:val="24"/>
                <w:lang w:val="en-US"/>
              </w:rPr>
              <w:lastRenderedPageBreak/>
              <w:t>End-point Assessment Re-sits</w:t>
            </w:r>
          </w:p>
        </w:tc>
      </w:tr>
      <w:tr w:rsidR="0088694C" w14:paraId="42AA3451" w14:textId="77777777" w:rsidTr="00210EE6">
        <w:tc>
          <w:tcPr>
            <w:tcW w:w="5382" w:type="dxa"/>
            <w:shd w:val="clear" w:color="auto" w:fill="F2F2F2" w:themeFill="background1" w:themeFillShade="F2"/>
            <w:tcMar>
              <w:top w:w="85" w:type="dxa"/>
              <w:bottom w:w="85" w:type="dxa"/>
            </w:tcMar>
            <w:vAlign w:val="center"/>
          </w:tcPr>
          <w:p w14:paraId="5760D860" w14:textId="77777777" w:rsidR="0088694C" w:rsidRPr="002A0ED1" w:rsidRDefault="0088694C" w:rsidP="00210EE6">
            <w:pPr>
              <w:rPr>
                <w:b/>
                <w:lang w:val="en-US"/>
              </w:rPr>
            </w:pPr>
            <w:r w:rsidRPr="002A0ED1">
              <w:rPr>
                <w:b/>
                <w:lang w:val="en-US"/>
              </w:rPr>
              <w:t>Question</w:t>
            </w:r>
          </w:p>
        </w:tc>
        <w:tc>
          <w:tcPr>
            <w:tcW w:w="10006" w:type="dxa"/>
            <w:shd w:val="clear" w:color="auto" w:fill="F2F2F2" w:themeFill="background1" w:themeFillShade="F2"/>
            <w:tcMar>
              <w:top w:w="85" w:type="dxa"/>
              <w:bottom w:w="85" w:type="dxa"/>
            </w:tcMar>
            <w:vAlign w:val="center"/>
          </w:tcPr>
          <w:p w14:paraId="3959BCBB" w14:textId="77777777" w:rsidR="0088694C" w:rsidRPr="002A0ED1" w:rsidRDefault="0088694C" w:rsidP="00210EE6">
            <w:pPr>
              <w:rPr>
                <w:b/>
                <w:lang w:val="en-US"/>
              </w:rPr>
            </w:pPr>
            <w:r w:rsidRPr="002A0ED1">
              <w:rPr>
                <w:b/>
                <w:lang w:val="en-US"/>
              </w:rPr>
              <w:t>Answer</w:t>
            </w:r>
          </w:p>
        </w:tc>
      </w:tr>
      <w:tr w:rsidR="0088694C" w14:paraId="69E07D95" w14:textId="77777777" w:rsidTr="00C33E71">
        <w:tc>
          <w:tcPr>
            <w:tcW w:w="5382" w:type="dxa"/>
            <w:tcMar>
              <w:top w:w="142" w:type="dxa"/>
              <w:bottom w:w="142" w:type="dxa"/>
            </w:tcMar>
            <w:vAlign w:val="center"/>
          </w:tcPr>
          <w:p w14:paraId="16A5CDDC" w14:textId="1F944C03" w:rsidR="0088694C" w:rsidRPr="00487876" w:rsidRDefault="00FF57FF" w:rsidP="0088694C">
            <w:r>
              <w:t>Does the apprentice need to go through the</w:t>
            </w:r>
            <w:r w:rsidR="0088694C" w:rsidRPr="00487876">
              <w:t xml:space="preserve"> gateway </w:t>
            </w:r>
            <w:r>
              <w:t xml:space="preserve">stage </w:t>
            </w:r>
            <w:r w:rsidR="0088694C" w:rsidRPr="00487876">
              <w:t>again if they fail the End-point Assessment?</w:t>
            </w:r>
          </w:p>
        </w:tc>
        <w:tc>
          <w:tcPr>
            <w:tcW w:w="10006" w:type="dxa"/>
            <w:tcMar>
              <w:top w:w="142" w:type="dxa"/>
              <w:bottom w:w="142" w:type="dxa"/>
            </w:tcMar>
            <w:vAlign w:val="center"/>
          </w:tcPr>
          <w:p w14:paraId="71D740DE" w14:textId="5A7EF475" w:rsidR="0088694C" w:rsidRPr="007D2234" w:rsidRDefault="0088694C" w:rsidP="00FF57FF">
            <w:r w:rsidRPr="007D2234">
              <w:t xml:space="preserve">The only time that the apprentice would need to pass </w:t>
            </w:r>
            <w:r w:rsidR="00FF57FF">
              <w:t xml:space="preserve">the </w:t>
            </w:r>
            <w:r w:rsidRPr="007D2234">
              <w:t xml:space="preserve">gateway </w:t>
            </w:r>
            <w:r w:rsidR="00FF57FF">
              <w:t>stage</w:t>
            </w:r>
            <w:r w:rsidRPr="007D2234">
              <w:t xml:space="preserve"> is if they have had a cha</w:t>
            </w:r>
            <w:r w:rsidR="00FF57FF">
              <w:t>nge in employer. A new Gateway D</w:t>
            </w:r>
            <w:r w:rsidRPr="007D2234">
              <w:t xml:space="preserve">eclaration </w:t>
            </w:r>
            <w:r w:rsidR="00FF57FF">
              <w:t>Form would be required</w:t>
            </w:r>
            <w:r w:rsidRPr="007D2234">
              <w:t xml:space="preserve"> to be signed by the new employer. </w:t>
            </w:r>
          </w:p>
        </w:tc>
      </w:tr>
      <w:tr w:rsidR="00E041E2" w14:paraId="19E2D85E" w14:textId="77777777" w:rsidTr="00C33E71">
        <w:tc>
          <w:tcPr>
            <w:tcW w:w="5382" w:type="dxa"/>
            <w:tcMar>
              <w:top w:w="142" w:type="dxa"/>
              <w:bottom w:w="142" w:type="dxa"/>
            </w:tcMar>
            <w:vAlign w:val="center"/>
          </w:tcPr>
          <w:p w14:paraId="61FB8049" w14:textId="66ACB042" w:rsidR="00E041E2" w:rsidRPr="00487876" w:rsidRDefault="00E041E2" w:rsidP="00E041E2">
            <w:r w:rsidRPr="001819F8">
              <w:t xml:space="preserve">If the apprentice fails one </w:t>
            </w:r>
            <w:r>
              <w:t>assessment method</w:t>
            </w:r>
            <w:r w:rsidRPr="001819F8">
              <w:t xml:space="preserve"> of the End-point Assessment, can they re</w:t>
            </w:r>
            <w:r>
              <w:t>-</w:t>
            </w:r>
            <w:r w:rsidRPr="001819F8">
              <w:t xml:space="preserve">sit just that </w:t>
            </w:r>
            <w:r>
              <w:t>assessment method</w:t>
            </w:r>
            <w:r w:rsidRPr="001819F8">
              <w:t>?</w:t>
            </w:r>
          </w:p>
        </w:tc>
        <w:tc>
          <w:tcPr>
            <w:tcW w:w="10006" w:type="dxa"/>
            <w:tcMar>
              <w:top w:w="142" w:type="dxa"/>
              <w:bottom w:w="142" w:type="dxa"/>
            </w:tcMar>
            <w:vAlign w:val="center"/>
          </w:tcPr>
          <w:p w14:paraId="08755FA4" w14:textId="5656A613" w:rsidR="00E041E2" w:rsidRPr="007D2234" w:rsidRDefault="00E041E2" w:rsidP="00E041E2">
            <w:r>
              <w:t>Yes, if an apprentice fails one of the assessment methods, they only have to re-sit the a</w:t>
            </w:r>
            <w:r w:rsidR="00FF57FF">
              <w:t xml:space="preserve">ssessment method not achieved. </w:t>
            </w:r>
            <w:r>
              <w:t xml:space="preserve">All assessment methods are required to be completed within a three month period following completion of the Gateway stage. </w:t>
            </w:r>
          </w:p>
        </w:tc>
      </w:tr>
      <w:tr w:rsidR="0088694C" w14:paraId="2CEFF49A" w14:textId="77777777" w:rsidTr="00C33E71">
        <w:tc>
          <w:tcPr>
            <w:tcW w:w="5382" w:type="dxa"/>
            <w:tcMar>
              <w:top w:w="142" w:type="dxa"/>
              <w:bottom w:w="142" w:type="dxa"/>
            </w:tcMar>
            <w:vAlign w:val="center"/>
          </w:tcPr>
          <w:p w14:paraId="2E93540F" w14:textId="77777777" w:rsidR="0088694C" w:rsidRPr="00FF57FF" w:rsidRDefault="0088694C" w:rsidP="0088694C">
            <w:r w:rsidRPr="00FF57FF">
              <w:t>How many re-sits can apprentices have?</w:t>
            </w:r>
          </w:p>
        </w:tc>
        <w:tc>
          <w:tcPr>
            <w:tcW w:w="10006" w:type="dxa"/>
            <w:tcMar>
              <w:top w:w="142" w:type="dxa"/>
              <w:bottom w:w="142" w:type="dxa"/>
            </w:tcMar>
            <w:vAlign w:val="center"/>
          </w:tcPr>
          <w:p w14:paraId="650C88FB" w14:textId="77777777" w:rsidR="0088694C" w:rsidRPr="00FF57FF" w:rsidRDefault="0088694C" w:rsidP="0088694C">
            <w:r w:rsidRPr="00FF57FF">
              <w:t>There is no limit on the number of re-sits that an apprentice can take.</w:t>
            </w:r>
          </w:p>
        </w:tc>
      </w:tr>
      <w:tr w:rsidR="0088694C" w14:paraId="6CE5811D" w14:textId="77777777" w:rsidTr="00C33E71">
        <w:tc>
          <w:tcPr>
            <w:tcW w:w="5382" w:type="dxa"/>
            <w:tcMar>
              <w:top w:w="142" w:type="dxa"/>
              <w:bottom w:w="142" w:type="dxa"/>
            </w:tcMar>
            <w:vAlign w:val="center"/>
          </w:tcPr>
          <w:p w14:paraId="0C87959C" w14:textId="555301F7" w:rsidR="0088694C" w:rsidRPr="00FF57FF" w:rsidRDefault="0088694C" w:rsidP="00AF7D0A">
            <w:r w:rsidRPr="00FF57FF">
              <w:t xml:space="preserve">Can an apprentice </w:t>
            </w:r>
            <w:r w:rsidR="00AF7D0A">
              <w:t xml:space="preserve">undertake </w:t>
            </w:r>
            <w:r w:rsidRPr="00FF57FF">
              <w:t xml:space="preserve">a </w:t>
            </w:r>
            <w:r w:rsidR="00E46E31" w:rsidRPr="00FF57FF">
              <w:t>re-sit</w:t>
            </w:r>
            <w:r w:rsidRPr="00FF57FF">
              <w:t xml:space="preserve"> at the same time </w:t>
            </w:r>
            <w:r w:rsidR="003F60EB">
              <w:t xml:space="preserve">as </w:t>
            </w:r>
            <w:r w:rsidRPr="00FF57FF">
              <w:t>apprentices sitting their first End-point Assessment?</w:t>
            </w:r>
          </w:p>
        </w:tc>
        <w:tc>
          <w:tcPr>
            <w:tcW w:w="10006" w:type="dxa"/>
            <w:tcMar>
              <w:top w:w="142" w:type="dxa"/>
              <w:bottom w:w="142" w:type="dxa"/>
            </w:tcMar>
            <w:vAlign w:val="center"/>
          </w:tcPr>
          <w:p w14:paraId="48833718" w14:textId="06887835" w:rsidR="0088694C" w:rsidRPr="00FF57FF" w:rsidRDefault="0088694C" w:rsidP="00FF57FF">
            <w:r w:rsidRPr="00FF57FF">
              <w:t>Yes,</w:t>
            </w:r>
            <w:r w:rsidR="00FF57FF">
              <w:t xml:space="preserve"> the apprentice can</w:t>
            </w:r>
            <w:r w:rsidR="00FF57FF" w:rsidRPr="00FF57FF">
              <w:t xml:space="preserve"> re-sit at the same time </w:t>
            </w:r>
            <w:r w:rsidR="00FF57FF">
              <w:t xml:space="preserve">as another </w:t>
            </w:r>
            <w:r w:rsidR="00FF57FF" w:rsidRPr="00FF57FF">
              <w:t>apprentice</w:t>
            </w:r>
            <w:r w:rsidR="00FF57FF">
              <w:t xml:space="preserve"> who is</w:t>
            </w:r>
            <w:r w:rsidR="00FF57FF" w:rsidRPr="00FF57FF">
              <w:t xml:space="preserve"> </w:t>
            </w:r>
            <w:r w:rsidR="00FF57FF">
              <w:t>completing their</w:t>
            </w:r>
            <w:r w:rsidR="00FF57FF" w:rsidRPr="00FF57FF">
              <w:t xml:space="preserve"> End-point Assessment</w:t>
            </w:r>
            <w:r w:rsidR="00FF57FF">
              <w:t xml:space="preserve"> for the first time. </w:t>
            </w:r>
          </w:p>
        </w:tc>
      </w:tr>
      <w:tr w:rsidR="00FF57FF" w14:paraId="2BC549AF" w14:textId="77777777" w:rsidTr="00C33E71">
        <w:tc>
          <w:tcPr>
            <w:tcW w:w="5382" w:type="dxa"/>
            <w:tcMar>
              <w:top w:w="142" w:type="dxa"/>
              <w:bottom w:w="142" w:type="dxa"/>
            </w:tcMar>
            <w:vAlign w:val="center"/>
          </w:tcPr>
          <w:p w14:paraId="08A5DEB1" w14:textId="4C9F5975" w:rsidR="00FF57FF" w:rsidRPr="00FF57FF" w:rsidRDefault="00FF57FF" w:rsidP="00E46E31">
            <w:r>
              <w:t xml:space="preserve">What is the length of the End-point Assessment period? </w:t>
            </w:r>
          </w:p>
        </w:tc>
        <w:tc>
          <w:tcPr>
            <w:tcW w:w="10006" w:type="dxa"/>
            <w:tcMar>
              <w:top w:w="142" w:type="dxa"/>
              <w:bottom w:w="142" w:type="dxa"/>
            </w:tcMar>
            <w:vAlign w:val="center"/>
          </w:tcPr>
          <w:p w14:paraId="5E5CDE34" w14:textId="6C7F565E" w:rsidR="00FF57FF" w:rsidRPr="00FF57FF" w:rsidRDefault="00FF57FF" w:rsidP="003F60EB">
            <w:r>
              <w:t xml:space="preserve">The End-point Assessment must be completed within </w:t>
            </w:r>
            <w:r w:rsidR="003F60EB">
              <w:t>three months of the apprentice passing the Gateway stage.</w:t>
            </w:r>
            <w:r>
              <w:t xml:space="preserve"> </w:t>
            </w:r>
          </w:p>
        </w:tc>
      </w:tr>
    </w:tbl>
    <w:p w14:paraId="3B9716DE" w14:textId="53B2F920" w:rsidR="0088694C" w:rsidRDefault="0088694C" w:rsidP="006A3FBE">
      <w:pPr>
        <w:rPr>
          <w:rFonts w:cs="Arial"/>
          <w:szCs w:val="20"/>
          <w:lang w:val="en-US"/>
        </w:rPr>
      </w:pPr>
    </w:p>
    <w:p w14:paraId="2F865744" w14:textId="241EFA05" w:rsidR="00BC763D" w:rsidRDefault="00BC763D">
      <w:pPr>
        <w:rPr>
          <w:rFonts w:asciiTheme="minorHAnsi" w:hAnsiTheme="minorHAnsi" w:cstheme="minorHAnsi"/>
        </w:rPr>
      </w:pPr>
    </w:p>
    <w:p w14:paraId="140C1E70" w14:textId="77777777" w:rsidR="00BC763D" w:rsidRPr="009E2214" w:rsidRDefault="00BC763D" w:rsidP="006A3FBE">
      <w:pPr>
        <w:rPr>
          <w:rFonts w:cs="Arial"/>
          <w:szCs w:val="20"/>
          <w:lang w:val="en-US"/>
        </w:rPr>
      </w:pPr>
    </w:p>
    <w:sectPr w:rsidR="00BC763D" w:rsidRPr="009E2214" w:rsidSect="00C33E71">
      <w:headerReference w:type="default" r:id="rId10"/>
      <w:footerReference w:type="default" r:id="rId11"/>
      <w:headerReference w:type="first" r:id="rId12"/>
      <w:footerReference w:type="first" r:id="rId13"/>
      <w:pgSz w:w="16838" w:h="11906" w:orient="landscape"/>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F71E6" w14:textId="77777777" w:rsidR="0079219D" w:rsidRDefault="0079219D" w:rsidP="00BF2836">
      <w:pPr>
        <w:spacing w:after="0" w:line="240" w:lineRule="auto"/>
      </w:pPr>
      <w:r>
        <w:separator/>
      </w:r>
    </w:p>
  </w:endnote>
  <w:endnote w:type="continuationSeparator" w:id="0">
    <w:p w14:paraId="4FDAAA66" w14:textId="77777777" w:rsidR="0079219D" w:rsidRDefault="0079219D" w:rsidP="00BF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Museo Sans Cyrl 100">
    <w:altName w:val="Arial"/>
    <w:panose1 w:val="00000000000000000000"/>
    <w:charset w:val="00"/>
    <w:family w:val="modern"/>
    <w:notTrueType/>
    <w:pitch w:val="variable"/>
    <w:sig w:usb0="00000207" w:usb1="00000001"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118555662"/>
      <w:docPartObj>
        <w:docPartGallery w:val="Page Numbers (Bottom of Page)"/>
        <w:docPartUnique/>
      </w:docPartObj>
    </w:sdtPr>
    <w:sdtEndPr>
      <w:rPr>
        <w:sz w:val="22"/>
      </w:rPr>
    </w:sdtEndPr>
    <w:sdtContent>
      <w:sdt>
        <w:sdtPr>
          <w:rPr>
            <w:sz w:val="20"/>
          </w:rPr>
          <w:id w:val="-1769616900"/>
          <w:docPartObj>
            <w:docPartGallery w:val="Page Numbers (Top of Page)"/>
            <w:docPartUnique/>
          </w:docPartObj>
        </w:sdtPr>
        <w:sdtEndPr>
          <w:rPr>
            <w:sz w:val="22"/>
          </w:rPr>
        </w:sdtEndPr>
        <w:sdtContent>
          <w:p w14:paraId="3AD8600C" w14:textId="7816F881" w:rsidR="00172B19" w:rsidRPr="00F75D19" w:rsidRDefault="000639F6" w:rsidP="0088694C">
            <w:pPr>
              <w:pStyle w:val="Footer"/>
              <w:tabs>
                <w:tab w:val="clear" w:pos="9026"/>
                <w:tab w:val="right" w:pos="15309"/>
              </w:tabs>
              <w:rPr>
                <w:rFonts w:asciiTheme="minorHAnsi" w:hAnsiTheme="minorHAnsi" w:cstheme="minorHAnsi"/>
                <w:b/>
                <w:bCs/>
                <w:sz w:val="20"/>
                <w:szCs w:val="20"/>
              </w:rPr>
            </w:pPr>
            <w:r>
              <w:rPr>
                <w:sz w:val="20"/>
              </w:rPr>
              <w:t xml:space="preserve">Advanced and Creative </w:t>
            </w:r>
            <w:r>
              <w:rPr>
                <w:rFonts w:asciiTheme="minorHAnsi" w:hAnsiTheme="minorHAnsi" w:cstheme="minorHAnsi"/>
                <w:sz w:val="20"/>
              </w:rPr>
              <w:t xml:space="preserve">Hair Professional </w:t>
            </w:r>
            <w:r w:rsidR="00D301CA">
              <w:rPr>
                <w:rFonts w:asciiTheme="minorHAnsi" w:hAnsiTheme="minorHAnsi" w:cstheme="minorHAnsi"/>
                <w:sz w:val="20"/>
              </w:rPr>
              <w:t>FAQs_</w:t>
            </w:r>
            <w:r w:rsidR="00F14D51">
              <w:rPr>
                <w:rFonts w:asciiTheme="minorHAnsi" w:hAnsiTheme="minorHAnsi" w:cstheme="minorHAnsi"/>
                <w:sz w:val="20"/>
              </w:rPr>
              <w:t>v</w:t>
            </w:r>
            <w:r w:rsidR="00CE7C7E">
              <w:rPr>
                <w:rFonts w:asciiTheme="minorHAnsi" w:hAnsiTheme="minorHAnsi" w:cstheme="minorHAnsi"/>
                <w:sz w:val="20"/>
              </w:rPr>
              <w:t>1</w:t>
            </w:r>
            <w:r w:rsidR="007D5851" w:rsidRPr="00F75D19">
              <w:rPr>
                <w:rFonts w:asciiTheme="minorHAnsi" w:hAnsiTheme="minorHAnsi" w:cstheme="minorHAnsi"/>
                <w:sz w:val="20"/>
              </w:rPr>
              <w:tab/>
            </w:r>
            <w:r w:rsidR="007D5851" w:rsidRPr="00F75D19">
              <w:rPr>
                <w:rFonts w:asciiTheme="minorHAnsi" w:hAnsiTheme="minorHAnsi" w:cstheme="minorHAnsi"/>
                <w:sz w:val="20"/>
              </w:rPr>
              <w:tab/>
            </w:r>
            <w:r w:rsidR="009E2214" w:rsidRPr="00F75D19">
              <w:rPr>
                <w:rFonts w:asciiTheme="minorHAnsi" w:hAnsiTheme="minorHAnsi" w:cstheme="minorHAnsi"/>
                <w:sz w:val="20"/>
                <w:szCs w:val="20"/>
              </w:rPr>
              <w:t xml:space="preserve">Page </w:t>
            </w:r>
            <w:r w:rsidR="009E2214" w:rsidRPr="00F75D19">
              <w:rPr>
                <w:rFonts w:asciiTheme="minorHAnsi" w:hAnsiTheme="minorHAnsi" w:cstheme="minorHAnsi"/>
                <w:b/>
                <w:bCs/>
                <w:sz w:val="20"/>
                <w:szCs w:val="20"/>
              </w:rPr>
              <w:fldChar w:fldCharType="begin"/>
            </w:r>
            <w:r w:rsidR="009E2214" w:rsidRPr="00F75D19">
              <w:rPr>
                <w:rFonts w:asciiTheme="minorHAnsi" w:hAnsiTheme="minorHAnsi" w:cstheme="minorHAnsi"/>
                <w:b/>
                <w:bCs/>
                <w:sz w:val="20"/>
                <w:szCs w:val="20"/>
              </w:rPr>
              <w:instrText xml:space="preserve"> PAGE </w:instrText>
            </w:r>
            <w:r w:rsidR="009E2214" w:rsidRPr="00F75D19">
              <w:rPr>
                <w:rFonts w:asciiTheme="minorHAnsi" w:hAnsiTheme="minorHAnsi" w:cstheme="minorHAnsi"/>
                <w:b/>
                <w:bCs/>
                <w:sz w:val="20"/>
                <w:szCs w:val="20"/>
              </w:rPr>
              <w:fldChar w:fldCharType="separate"/>
            </w:r>
            <w:r w:rsidR="00F216BA">
              <w:rPr>
                <w:rFonts w:asciiTheme="minorHAnsi" w:hAnsiTheme="minorHAnsi" w:cstheme="minorHAnsi"/>
                <w:b/>
                <w:bCs/>
                <w:noProof/>
                <w:sz w:val="20"/>
                <w:szCs w:val="20"/>
              </w:rPr>
              <w:t>2</w:t>
            </w:r>
            <w:r w:rsidR="009E2214" w:rsidRPr="00F75D19">
              <w:rPr>
                <w:rFonts w:asciiTheme="minorHAnsi" w:hAnsiTheme="minorHAnsi" w:cstheme="minorHAnsi"/>
                <w:b/>
                <w:bCs/>
                <w:sz w:val="20"/>
                <w:szCs w:val="20"/>
              </w:rPr>
              <w:fldChar w:fldCharType="end"/>
            </w:r>
            <w:r w:rsidR="009E2214" w:rsidRPr="00F75D19">
              <w:rPr>
                <w:rFonts w:asciiTheme="minorHAnsi" w:hAnsiTheme="minorHAnsi" w:cstheme="minorHAnsi"/>
                <w:sz w:val="20"/>
                <w:szCs w:val="20"/>
              </w:rPr>
              <w:t xml:space="preserve"> of </w:t>
            </w:r>
            <w:r w:rsidR="009E2214" w:rsidRPr="00F75D19">
              <w:rPr>
                <w:rFonts w:asciiTheme="minorHAnsi" w:hAnsiTheme="minorHAnsi" w:cstheme="minorHAnsi"/>
                <w:b/>
                <w:bCs/>
                <w:sz w:val="20"/>
                <w:szCs w:val="20"/>
              </w:rPr>
              <w:fldChar w:fldCharType="begin"/>
            </w:r>
            <w:r w:rsidR="009E2214" w:rsidRPr="00F75D19">
              <w:rPr>
                <w:rFonts w:asciiTheme="minorHAnsi" w:hAnsiTheme="minorHAnsi" w:cstheme="minorHAnsi"/>
                <w:b/>
                <w:bCs/>
                <w:sz w:val="20"/>
                <w:szCs w:val="20"/>
              </w:rPr>
              <w:instrText xml:space="preserve"> NUMPAGES  </w:instrText>
            </w:r>
            <w:r w:rsidR="009E2214" w:rsidRPr="00F75D19">
              <w:rPr>
                <w:rFonts w:asciiTheme="minorHAnsi" w:hAnsiTheme="minorHAnsi" w:cstheme="minorHAnsi"/>
                <w:b/>
                <w:bCs/>
                <w:sz w:val="20"/>
                <w:szCs w:val="20"/>
              </w:rPr>
              <w:fldChar w:fldCharType="separate"/>
            </w:r>
            <w:r w:rsidR="00F216BA">
              <w:rPr>
                <w:rFonts w:asciiTheme="minorHAnsi" w:hAnsiTheme="minorHAnsi" w:cstheme="minorHAnsi"/>
                <w:b/>
                <w:bCs/>
                <w:noProof/>
                <w:sz w:val="20"/>
                <w:szCs w:val="20"/>
              </w:rPr>
              <w:t>6</w:t>
            </w:r>
            <w:r w:rsidR="009E2214" w:rsidRPr="00F75D19">
              <w:rPr>
                <w:rFonts w:asciiTheme="minorHAnsi" w:hAnsiTheme="minorHAnsi" w:cstheme="minorHAnsi"/>
                <w:b/>
                <w:bCs/>
                <w:sz w:val="20"/>
                <w:szCs w:val="20"/>
              </w:rPr>
              <w:fldChar w:fldCharType="end"/>
            </w:r>
          </w:p>
          <w:p w14:paraId="19E97651" w14:textId="77777777" w:rsidR="00D44EEE" w:rsidRPr="009E2214" w:rsidRDefault="00172B19" w:rsidP="00F75D19">
            <w:pPr>
              <w:pStyle w:val="Footer"/>
              <w:tabs>
                <w:tab w:val="clear" w:pos="9026"/>
                <w:tab w:val="right" w:pos="10466"/>
              </w:tabs>
            </w:pPr>
            <w:r w:rsidRPr="00F75D19">
              <w:rPr>
                <w:sz w:val="20"/>
              </w:rPr>
              <w:t>If printed this document becomes uncontrolled</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53E0F" w14:textId="77777777" w:rsidR="009E2214" w:rsidRPr="00F75D19" w:rsidRDefault="00172B19" w:rsidP="00F75D19">
    <w:pPr>
      <w:spacing w:after="0"/>
      <w:rPr>
        <w:sz w:val="20"/>
      </w:rPr>
    </w:pPr>
    <w:r w:rsidRPr="00F75D19">
      <w:rPr>
        <w:sz w:val="20"/>
      </w:rPr>
      <w:t>If printed this document becomes uncontrolled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7CC78" w14:textId="77777777" w:rsidR="0079219D" w:rsidRDefault="0079219D" w:rsidP="00BF2836">
      <w:pPr>
        <w:spacing w:after="0" w:line="240" w:lineRule="auto"/>
      </w:pPr>
      <w:r>
        <w:separator/>
      </w:r>
    </w:p>
  </w:footnote>
  <w:footnote w:type="continuationSeparator" w:id="0">
    <w:p w14:paraId="4201E927" w14:textId="77777777" w:rsidR="0079219D" w:rsidRDefault="0079219D" w:rsidP="00BF2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55302" w14:textId="77777777" w:rsidR="00563AD2" w:rsidRPr="00F75D19" w:rsidRDefault="00F14D51" w:rsidP="00563AD2">
    <w:pPr>
      <w:jc w:val="right"/>
      <w:rPr>
        <w:rFonts w:ascii="Arial" w:hAnsi="Arial" w:cs="Arial"/>
        <w:noProof/>
        <w:sz w:val="20"/>
        <w:lang w:eastAsia="en-GB"/>
      </w:rPr>
    </w:pPr>
    <w:r>
      <w:rPr>
        <w:noProof/>
        <w:sz w:val="20"/>
        <w:lang w:eastAsia="en-GB"/>
      </w:rPr>
      <w:drawing>
        <wp:inline distT="0" distB="0" distL="0" distR="0" wp14:anchorId="6AEFE55B" wp14:editId="103ECECB">
          <wp:extent cx="1771650" cy="617272"/>
          <wp:effectExtent l="0" t="0" r="0" b="0"/>
          <wp:docPr id="1" name="Picture 1" descr="VTCT EPA services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CT EPA services v2"/>
                  <pic:cNvPicPr>
                    <a:picLocks noChangeAspect="1" noChangeArrowheads="1"/>
                  </pic:cNvPicPr>
                </pic:nvPicPr>
                <pic:blipFill>
                  <a:blip r:embed="rId1">
                    <a:extLst>
                      <a:ext uri="{28A0092B-C50C-407E-A947-70E740481C1C}">
                        <a14:useLocalDpi xmlns:a14="http://schemas.microsoft.com/office/drawing/2010/main" val="0"/>
                      </a:ext>
                    </a:extLst>
                  </a:blip>
                  <a:srcRect l="8623" t="20547" r="7195" b="17924"/>
                  <a:stretch>
                    <a:fillRect/>
                  </a:stretch>
                </pic:blipFill>
                <pic:spPr bwMode="auto">
                  <a:xfrm>
                    <a:off x="0" y="0"/>
                    <a:ext cx="1776820" cy="61907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FE118" w14:textId="77777777" w:rsidR="004438E3" w:rsidRDefault="004438E3">
    <w:pPr>
      <w:pStyle w:val="Header"/>
    </w:pPr>
  </w:p>
  <w:p w14:paraId="0D6B479D" w14:textId="77777777" w:rsidR="00563AD2" w:rsidRDefault="00563AD2" w:rsidP="00563AD2">
    <w:pPr>
      <w:jc w:val="right"/>
    </w:pPr>
    <w:r>
      <w:rPr>
        <w:noProof/>
        <w:lang w:eastAsia="en-GB"/>
      </w:rPr>
      <w:drawing>
        <wp:inline distT="0" distB="0" distL="0" distR="0" wp14:anchorId="5490099A" wp14:editId="34CD3A34">
          <wp:extent cx="3220316" cy="7359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ual logos_RGB.png"/>
                  <pic:cNvPicPr/>
                </pic:nvPicPr>
                <pic:blipFill>
                  <a:blip r:embed="rId1">
                    <a:extLst>
                      <a:ext uri="{28A0092B-C50C-407E-A947-70E740481C1C}">
                        <a14:useLocalDpi xmlns:a14="http://schemas.microsoft.com/office/drawing/2010/main" val="0"/>
                      </a:ext>
                    </a:extLst>
                  </a:blip>
                  <a:stretch>
                    <a:fillRect/>
                  </a:stretch>
                </pic:blipFill>
                <pic:spPr>
                  <a:xfrm>
                    <a:off x="0" y="0"/>
                    <a:ext cx="3237147" cy="7398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36C2"/>
    <w:multiLevelType w:val="multilevel"/>
    <w:tmpl w:val="E60CD9E4"/>
    <w:lvl w:ilvl="0">
      <w:start w:val="1"/>
      <w:numFmt w:val="decimal"/>
      <w:pStyle w:val="numberbullet"/>
      <w:lvlText w:val="%1."/>
      <w:lvlJc w:val="left"/>
      <w:pPr>
        <w:ind w:left="360" w:hanging="360"/>
      </w:pPr>
    </w:lvl>
    <w:lvl w:ilvl="1">
      <w:start w:val="2"/>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6BF4F6E"/>
    <w:multiLevelType w:val="hybridMultilevel"/>
    <w:tmpl w:val="08785C50"/>
    <w:lvl w:ilvl="0" w:tplc="417EDE2E">
      <w:start w:val="1"/>
      <w:numFmt w:val="bullet"/>
      <w:lvlText w:val=""/>
      <w:lvlJc w:val="left"/>
      <w:pPr>
        <w:ind w:left="360" w:hanging="360"/>
      </w:pPr>
      <w:rPr>
        <w:rFonts w:ascii="Symbol" w:hAnsi="Symbol" w:hint="default"/>
      </w:rPr>
    </w:lvl>
    <w:lvl w:ilvl="1" w:tplc="7EF84D9E">
      <w:start w:val="1"/>
      <w:numFmt w:val="bullet"/>
      <w:pStyle w:val="Bullet2"/>
      <w:lvlText w:val="̵"/>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FF830F0"/>
    <w:multiLevelType w:val="hybridMultilevel"/>
    <w:tmpl w:val="26C2544A"/>
    <w:lvl w:ilvl="0" w:tplc="8814EE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B5E51"/>
    <w:multiLevelType w:val="hybridMultilevel"/>
    <w:tmpl w:val="B8F65BCC"/>
    <w:lvl w:ilvl="0" w:tplc="09CC4F8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45689"/>
    <w:multiLevelType w:val="hybridMultilevel"/>
    <w:tmpl w:val="D5FCC082"/>
    <w:lvl w:ilvl="0" w:tplc="BFBAB7C6">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9E4BC7"/>
    <w:multiLevelType w:val="multilevel"/>
    <w:tmpl w:val="9FFE4AF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A9719E"/>
    <w:multiLevelType w:val="hybridMultilevel"/>
    <w:tmpl w:val="1294290A"/>
    <w:lvl w:ilvl="0" w:tplc="DE6C821A">
      <w:numFmt w:val="bullet"/>
      <w:lvlText w:val="-"/>
      <w:lvlJc w:val="left"/>
      <w:pPr>
        <w:ind w:left="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7943617F"/>
    <w:multiLevelType w:val="hybridMultilevel"/>
    <w:tmpl w:val="86BC3C60"/>
    <w:lvl w:ilvl="0" w:tplc="DE6C821A">
      <w:numFmt w:val="bullet"/>
      <w:lvlText w:val="-"/>
      <w:lvlJc w:val="left"/>
      <w:pPr>
        <w:ind w:left="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0"/>
  </w:num>
  <w:num w:numId="6">
    <w:abstractNumId w:val="0"/>
    <w:lvlOverride w:ilvl="0">
      <w:startOverride w:val="1"/>
    </w:lvlOverride>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0tDAxMTIxNLI0MTRR0lEKTi0uzszPAykwqgUAQLkjICwAAAA="/>
  </w:docVars>
  <w:rsids>
    <w:rsidRoot w:val="0088694C"/>
    <w:rsid w:val="00017200"/>
    <w:rsid w:val="0002201D"/>
    <w:rsid w:val="00023F2D"/>
    <w:rsid w:val="0002702C"/>
    <w:rsid w:val="00036F04"/>
    <w:rsid w:val="000452D4"/>
    <w:rsid w:val="0004736D"/>
    <w:rsid w:val="000501FE"/>
    <w:rsid w:val="000639F6"/>
    <w:rsid w:val="000A0268"/>
    <w:rsid w:val="000E6370"/>
    <w:rsid w:val="0014160F"/>
    <w:rsid w:val="00147754"/>
    <w:rsid w:val="00172B19"/>
    <w:rsid w:val="00175544"/>
    <w:rsid w:val="00213E7A"/>
    <w:rsid w:val="00240F7C"/>
    <w:rsid w:val="00252875"/>
    <w:rsid w:val="0027533F"/>
    <w:rsid w:val="00283720"/>
    <w:rsid w:val="002A06C9"/>
    <w:rsid w:val="002B2C37"/>
    <w:rsid w:val="002C1298"/>
    <w:rsid w:val="002D4DBE"/>
    <w:rsid w:val="002E789C"/>
    <w:rsid w:val="002F3592"/>
    <w:rsid w:val="00322001"/>
    <w:rsid w:val="0032732B"/>
    <w:rsid w:val="00330FAC"/>
    <w:rsid w:val="00367BE2"/>
    <w:rsid w:val="003A4384"/>
    <w:rsid w:val="003F60EB"/>
    <w:rsid w:val="004376F4"/>
    <w:rsid w:val="004438E3"/>
    <w:rsid w:val="004B33D2"/>
    <w:rsid w:val="004F4C0D"/>
    <w:rsid w:val="005275BA"/>
    <w:rsid w:val="0054004B"/>
    <w:rsid w:val="005426CF"/>
    <w:rsid w:val="005564E5"/>
    <w:rsid w:val="00563AD2"/>
    <w:rsid w:val="00585744"/>
    <w:rsid w:val="005D339F"/>
    <w:rsid w:val="00622564"/>
    <w:rsid w:val="006A3FBE"/>
    <w:rsid w:val="006D414D"/>
    <w:rsid w:val="006F3372"/>
    <w:rsid w:val="006F72D9"/>
    <w:rsid w:val="007033B3"/>
    <w:rsid w:val="00706679"/>
    <w:rsid w:val="007245B2"/>
    <w:rsid w:val="0077363B"/>
    <w:rsid w:val="0079219D"/>
    <w:rsid w:val="007B11EF"/>
    <w:rsid w:val="007D5851"/>
    <w:rsid w:val="007F500C"/>
    <w:rsid w:val="00812050"/>
    <w:rsid w:val="008352AD"/>
    <w:rsid w:val="00836572"/>
    <w:rsid w:val="00870EB0"/>
    <w:rsid w:val="0088694C"/>
    <w:rsid w:val="0089431B"/>
    <w:rsid w:val="008A540A"/>
    <w:rsid w:val="00957149"/>
    <w:rsid w:val="009C3F77"/>
    <w:rsid w:val="009D656D"/>
    <w:rsid w:val="009E2214"/>
    <w:rsid w:val="009E419F"/>
    <w:rsid w:val="00A24473"/>
    <w:rsid w:val="00A304FB"/>
    <w:rsid w:val="00A461DF"/>
    <w:rsid w:val="00A70D2C"/>
    <w:rsid w:val="00AD59A0"/>
    <w:rsid w:val="00AF7D0A"/>
    <w:rsid w:val="00B22B01"/>
    <w:rsid w:val="00B43B33"/>
    <w:rsid w:val="00B56E49"/>
    <w:rsid w:val="00B60AB9"/>
    <w:rsid w:val="00BC763D"/>
    <w:rsid w:val="00BF2836"/>
    <w:rsid w:val="00C13EF1"/>
    <w:rsid w:val="00C30E6C"/>
    <w:rsid w:val="00C33E71"/>
    <w:rsid w:val="00C54113"/>
    <w:rsid w:val="00C6038B"/>
    <w:rsid w:val="00CB5830"/>
    <w:rsid w:val="00CE22AA"/>
    <w:rsid w:val="00CE7C7E"/>
    <w:rsid w:val="00D23FF7"/>
    <w:rsid w:val="00D301CA"/>
    <w:rsid w:val="00D44EEE"/>
    <w:rsid w:val="00D46D74"/>
    <w:rsid w:val="00D62C04"/>
    <w:rsid w:val="00DB1275"/>
    <w:rsid w:val="00DE717C"/>
    <w:rsid w:val="00E041E2"/>
    <w:rsid w:val="00E1090A"/>
    <w:rsid w:val="00E1207B"/>
    <w:rsid w:val="00E12A58"/>
    <w:rsid w:val="00E46E31"/>
    <w:rsid w:val="00E52414"/>
    <w:rsid w:val="00E62AB9"/>
    <w:rsid w:val="00EA5649"/>
    <w:rsid w:val="00F14D51"/>
    <w:rsid w:val="00F216BA"/>
    <w:rsid w:val="00F22F9D"/>
    <w:rsid w:val="00F45D77"/>
    <w:rsid w:val="00F75D19"/>
    <w:rsid w:val="00FA342A"/>
    <w:rsid w:val="00FF5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1C4DE"/>
  <w15:docId w15:val="{6A80A9E3-F495-49C7-8958-DEF64CE9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94C"/>
    <w:rPr>
      <w:rFonts w:ascii="Calibri" w:hAnsi="Calibri"/>
    </w:rPr>
  </w:style>
  <w:style w:type="paragraph" w:styleId="Heading1">
    <w:name w:val="heading 1"/>
    <w:basedOn w:val="Normal"/>
    <w:next w:val="Normal"/>
    <w:link w:val="Heading1Char"/>
    <w:uiPriority w:val="9"/>
    <w:qFormat/>
    <w:rsid w:val="00172B19"/>
    <w:pPr>
      <w:keepNext/>
      <w:keepLines/>
      <w:numPr>
        <w:numId w:val="9"/>
      </w:numPr>
      <w:spacing w:before="480"/>
      <w:ind w:left="340" w:hanging="340"/>
      <w:outlineLvl w:val="0"/>
    </w:pPr>
    <w:rPr>
      <w:rFonts w:eastAsiaTheme="majorEastAsia" w:cstheme="majorBidi"/>
      <w:b/>
      <w:color w:val="7F7F7F" w:themeColor="text1" w:themeTint="80"/>
      <w:sz w:val="32"/>
      <w:szCs w:val="32"/>
    </w:rPr>
  </w:style>
  <w:style w:type="paragraph" w:styleId="Heading2">
    <w:name w:val="heading 2"/>
    <w:basedOn w:val="Normal"/>
    <w:next w:val="Normal"/>
    <w:link w:val="Heading2Char"/>
    <w:uiPriority w:val="9"/>
    <w:unhideWhenUsed/>
    <w:qFormat/>
    <w:rsid w:val="00172B19"/>
    <w:pPr>
      <w:keepNext/>
      <w:keepLines/>
      <w:numPr>
        <w:ilvl w:val="1"/>
        <w:numId w:val="9"/>
      </w:numPr>
      <w:spacing w:before="240" w:after="120"/>
      <w:ind w:left="510" w:hanging="51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72B19"/>
    <w:pPr>
      <w:keepNext/>
      <w:keepLines/>
      <w:numPr>
        <w:ilvl w:val="2"/>
        <w:numId w:val="9"/>
      </w:numPr>
      <w:spacing w:before="40" w:after="120"/>
      <w:ind w:left="624" w:hanging="624"/>
      <w:outlineLvl w:val="2"/>
    </w:pPr>
    <w:rPr>
      <w:rFonts w:eastAsiaTheme="majorEastAsia" w:cstheme="majorBidi"/>
      <w:b/>
      <w:sz w:val="24"/>
      <w:szCs w:val="24"/>
    </w:rPr>
  </w:style>
  <w:style w:type="paragraph" w:styleId="Heading40">
    <w:name w:val="heading 4"/>
    <w:aliases w:val="Intense Heading"/>
    <w:basedOn w:val="Normal"/>
    <w:next w:val="Normal"/>
    <w:link w:val="Heading4Char"/>
    <w:uiPriority w:val="9"/>
    <w:unhideWhenUsed/>
    <w:rsid w:val="00172B1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836"/>
  </w:style>
  <w:style w:type="paragraph" w:styleId="Footer">
    <w:name w:val="footer"/>
    <w:basedOn w:val="Normal"/>
    <w:link w:val="FooterChar"/>
    <w:uiPriority w:val="99"/>
    <w:unhideWhenUsed/>
    <w:rsid w:val="00BF2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836"/>
  </w:style>
  <w:style w:type="paragraph" w:styleId="BalloonText">
    <w:name w:val="Balloon Text"/>
    <w:basedOn w:val="Normal"/>
    <w:link w:val="BalloonTextChar"/>
    <w:uiPriority w:val="99"/>
    <w:semiHidden/>
    <w:unhideWhenUsed/>
    <w:rsid w:val="00BF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36"/>
    <w:rPr>
      <w:rFonts w:ascii="Tahoma" w:hAnsi="Tahoma" w:cs="Tahoma"/>
      <w:sz w:val="16"/>
      <w:szCs w:val="16"/>
    </w:rPr>
  </w:style>
  <w:style w:type="table" w:styleId="LightShading">
    <w:name w:val="Light Shading"/>
    <w:basedOn w:val="TableNormal"/>
    <w:uiPriority w:val="60"/>
    <w:rsid w:val="003220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34"/>
    <w:qFormat/>
    <w:rsid w:val="00322001"/>
    <w:pPr>
      <w:ind w:left="720"/>
      <w:contextualSpacing/>
    </w:pPr>
  </w:style>
  <w:style w:type="character" w:customStyle="1" w:styleId="Heading1Char">
    <w:name w:val="Heading 1 Char"/>
    <w:basedOn w:val="DefaultParagraphFont"/>
    <w:link w:val="Heading1"/>
    <w:uiPriority w:val="9"/>
    <w:rsid w:val="00172B19"/>
    <w:rPr>
      <w:rFonts w:ascii="Calibri" w:eastAsiaTheme="majorEastAsia" w:hAnsi="Calibri" w:cstheme="majorBidi"/>
      <w:b/>
      <w:color w:val="7F7F7F" w:themeColor="text1" w:themeTint="80"/>
      <w:sz w:val="32"/>
      <w:szCs w:val="32"/>
    </w:rPr>
  </w:style>
  <w:style w:type="paragraph" w:customStyle="1" w:styleId="bullet">
    <w:name w:val="bullet"/>
    <w:basedOn w:val="Normal"/>
    <w:link w:val="bulletChar"/>
    <w:qFormat/>
    <w:rsid w:val="00563AD2"/>
    <w:pPr>
      <w:numPr>
        <w:numId w:val="1"/>
      </w:numPr>
      <w:spacing w:after="80"/>
      <w:ind w:left="425" w:hanging="425"/>
    </w:pPr>
    <w:rPr>
      <w:rFonts w:cs="Arial"/>
      <w:szCs w:val="20"/>
      <w:lang w:val="en-US"/>
    </w:rPr>
  </w:style>
  <w:style w:type="paragraph" w:customStyle="1" w:styleId="numberbullet">
    <w:name w:val="number bullet"/>
    <w:basedOn w:val="bullet"/>
    <w:link w:val="numberbulletChar"/>
    <w:qFormat/>
    <w:rsid w:val="008A540A"/>
    <w:pPr>
      <w:numPr>
        <w:numId w:val="5"/>
      </w:numPr>
      <w:ind w:left="357" w:hanging="357"/>
    </w:pPr>
  </w:style>
  <w:style w:type="character" w:customStyle="1" w:styleId="ListParagraphChar">
    <w:name w:val="List Paragraph Char"/>
    <w:basedOn w:val="DefaultParagraphFont"/>
    <w:link w:val="ListParagraph"/>
    <w:uiPriority w:val="34"/>
    <w:rsid w:val="008A540A"/>
    <w:rPr>
      <w:rFonts w:ascii="Museo Sans 500" w:hAnsi="Museo Sans 500"/>
      <w:sz w:val="20"/>
    </w:rPr>
  </w:style>
  <w:style w:type="character" w:customStyle="1" w:styleId="bulletChar">
    <w:name w:val="bullet Char"/>
    <w:basedOn w:val="ListParagraphChar"/>
    <w:link w:val="bullet"/>
    <w:rsid w:val="00563AD2"/>
    <w:rPr>
      <w:rFonts w:ascii="Calibri" w:hAnsi="Calibri" w:cs="Arial"/>
      <w:sz w:val="20"/>
      <w:szCs w:val="20"/>
      <w:lang w:val="en-US"/>
    </w:rPr>
  </w:style>
  <w:style w:type="character" w:customStyle="1" w:styleId="Heading2Char">
    <w:name w:val="Heading 2 Char"/>
    <w:basedOn w:val="DefaultParagraphFont"/>
    <w:link w:val="Heading2"/>
    <w:uiPriority w:val="9"/>
    <w:rsid w:val="00172B19"/>
    <w:rPr>
      <w:rFonts w:ascii="Calibri" w:eastAsiaTheme="majorEastAsia" w:hAnsi="Calibri" w:cstheme="majorBidi"/>
      <w:b/>
      <w:sz w:val="28"/>
      <w:szCs w:val="26"/>
    </w:rPr>
  </w:style>
  <w:style w:type="character" w:customStyle="1" w:styleId="numberbulletChar">
    <w:name w:val="number bullet Char"/>
    <w:basedOn w:val="bulletChar"/>
    <w:link w:val="numberbullet"/>
    <w:rsid w:val="008A540A"/>
    <w:rPr>
      <w:rFonts w:ascii="Museo Sans Cyrl 100" w:hAnsi="Museo Sans Cyrl 100" w:cs="Arial"/>
      <w:sz w:val="20"/>
      <w:szCs w:val="20"/>
      <w:lang w:val="en-US"/>
    </w:rPr>
  </w:style>
  <w:style w:type="table" w:styleId="TableGrid">
    <w:name w:val="Table Grid"/>
    <w:basedOn w:val="TableNormal"/>
    <w:uiPriority w:val="39"/>
    <w:rsid w:val="006A3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30E6C"/>
    <w:pPr>
      <w:numPr>
        <w:numId w:val="0"/>
      </w:numPr>
    </w:pPr>
  </w:style>
  <w:style w:type="paragraph" w:styleId="TOC1">
    <w:name w:val="toc 1"/>
    <w:basedOn w:val="Normal"/>
    <w:next w:val="Normal"/>
    <w:autoRedefine/>
    <w:uiPriority w:val="39"/>
    <w:unhideWhenUsed/>
    <w:rsid w:val="009E2214"/>
    <w:pPr>
      <w:spacing w:after="100"/>
    </w:pPr>
  </w:style>
  <w:style w:type="character" w:styleId="Hyperlink">
    <w:name w:val="Hyperlink"/>
    <w:basedOn w:val="DefaultParagraphFont"/>
    <w:uiPriority w:val="99"/>
    <w:unhideWhenUsed/>
    <w:rsid w:val="009E2214"/>
    <w:rPr>
      <w:color w:val="0000FF" w:themeColor="hyperlink"/>
      <w:u w:val="single"/>
    </w:rPr>
  </w:style>
  <w:style w:type="character" w:customStyle="1" w:styleId="Bullet2Char">
    <w:name w:val="Bullet 2 Char"/>
    <w:basedOn w:val="DefaultParagraphFont"/>
    <w:link w:val="Bullet2"/>
    <w:locked/>
    <w:rsid w:val="003A4384"/>
    <w:rPr>
      <w:rFonts w:ascii="Museo Sans Cyrl 100" w:hAnsi="Museo Sans Cyrl 100"/>
      <w:sz w:val="20"/>
    </w:rPr>
  </w:style>
  <w:style w:type="paragraph" w:customStyle="1" w:styleId="Bullet2">
    <w:name w:val="Bullet 2"/>
    <w:basedOn w:val="Normal"/>
    <w:link w:val="Bullet2Char"/>
    <w:qFormat/>
    <w:rsid w:val="003A4384"/>
    <w:pPr>
      <w:numPr>
        <w:ilvl w:val="1"/>
        <w:numId w:val="8"/>
      </w:numPr>
      <w:spacing w:line="240" w:lineRule="auto"/>
      <w:contextualSpacing/>
    </w:pPr>
  </w:style>
  <w:style w:type="paragraph" w:styleId="TOC2">
    <w:name w:val="toc 2"/>
    <w:basedOn w:val="Normal"/>
    <w:next w:val="Normal"/>
    <w:autoRedefine/>
    <w:uiPriority w:val="39"/>
    <w:unhideWhenUsed/>
    <w:rsid w:val="003A4384"/>
    <w:pPr>
      <w:spacing w:after="100"/>
      <w:ind w:left="200"/>
    </w:pPr>
  </w:style>
  <w:style w:type="character" w:customStyle="1" w:styleId="Heading3Char">
    <w:name w:val="Heading 3 Char"/>
    <w:basedOn w:val="DefaultParagraphFont"/>
    <w:link w:val="Heading3"/>
    <w:uiPriority w:val="9"/>
    <w:rsid w:val="00172B19"/>
    <w:rPr>
      <w:rFonts w:ascii="Calibri" w:eastAsiaTheme="majorEastAsia" w:hAnsi="Calibri" w:cstheme="majorBidi"/>
      <w:b/>
      <w:sz w:val="24"/>
      <w:szCs w:val="24"/>
    </w:rPr>
  </w:style>
  <w:style w:type="paragraph" w:styleId="TOC3">
    <w:name w:val="toc 3"/>
    <w:basedOn w:val="Normal"/>
    <w:next w:val="Normal"/>
    <w:autoRedefine/>
    <w:uiPriority w:val="39"/>
    <w:unhideWhenUsed/>
    <w:rsid w:val="00DE717C"/>
    <w:pPr>
      <w:spacing w:after="100"/>
      <w:ind w:left="400"/>
    </w:pPr>
  </w:style>
  <w:style w:type="character" w:customStyle="1" w:styleId="Heading4Char">
    <w:name w:val="Heading 4 Char"/>
    <w:aliases w:val="Intense Heading Char"/>
    <w:basedOn w:val="DefaultParagraphFont"/>
    <w:link w:val="Heading40"/>
    <w:uiPriority w:val="9"/>
    <w:rsid w:val="00172B19"/>
    <w:rPr>
      <w:rFonts w:asciiTheme="majorHAnsi" w:eastAsiaTheme="majorEastAsia" w:hAnsiTheme="majorHAnsi" w:cstheme="majorBidi"/>
      <w:i/>
      <w:iCs/>
      <w:color w:val="365F91" w:themeColor="accent1" w:themeShade="BF"/>
      <w:sz w:val="20"/>
    </w:rPr>
  </w:style>
  <w:style w:type="paragraph" w:customStyle="1" w:styleId="Heading4">
    <w:name w:val="Heading 4."/>
    <w:basedOn w:val="Heading3"/>
    <w:link w:val="Heading4Char0"/>
    <w:qFormat/>
    <w:rsid w:val="00C13EF1"/>
    <w:pPr>
      <w:numPr>
        <w:ilvl w:val="3"/>
      </w:numPr>
      <w:ind w:left="851" w:hanging="851"/>
    </w:pPr>
    <w:rPr>
      <w:sz w:val="22"/>
    </w:rPr>
  </w:style>
  <w:style w:type="character" w:customStyle="1" w:styleId="Heading4Char0">
    <w:name w:val="Heading 4. Char"/>
    <w:basedOn w:val="Heading3Char"/>
    <w:link w:val="Heading4"/>
    <w:rsid w:val="00C13EF1"/>
    <w:rPr>
      <w:rFonts w:ascii="Calibri" w:eastAsiaTheme="majorEastAsia" w:hAnsi="Calibri" w:cstheme="majorBidi"/>
      <w:b/>
      <w:sz w:val="24"/>
      <w:szCs w:val="24"/>
    </w:rPr>
  </w:style>
  <w:style w:type="character" w:styleId="CommentReference">
    <w:name w:val="annotation reference"/>
    <w:basedOn w:val="DefaultParagraphFont"/>
    <w:uiPriority w:val="99"/>
    <w:semiHidden/>
    <w:unhideWhenUsed/>
    <w:rsid w:val="0054004B"/>
    <w:rPr>
      <w:sz w:val="16"/>
      <w:szCs w:val="16"/>
    </w:rPr>
  </w:style>
  <w:style w:type="paragraph" w:styleId="CommentText">
    <w:name w:val="annotation text"/>
    <w:basedOn w:val="Normal"/>
    <w:link w:val="CommentTextChar"/>
    <w:uiPriority w:val="99"/>
    <w:semiHidden/>
    <w:unhideWhenUsed/>
    <w:rsid w:val="0054004B"/>
    <w:pPr>
      <w:spacing w:line="240" w:lineRule="auto"/>
    </w:pPr>
    <w:rPr>
      <w:sz w:val="20"/>
      <w:szCs w:val="20"/>
    </w:rPr>
  </w:style>
  <w:style w:type="character" w:customStyle="1" w:styleId="CommentTextChar">
    <w:name w:val="Comment Text Char"/>
    <w:basedOn w:val="DefaultParagraphFont"/>
    <w:link w:val="CommentText"/>
    <w:uiPriority w:val="99"/>
    <w:semiHidden/>
    <w:rsid w:val="0054004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4004B"/>
    <w:rPr>
      <w:b/>
      <w:bCs/>
    </w:rPr>
  </w:style>
  <w:style w:type="character" w:customStyle="1" w:styleId="CommentSubjectChar">
    <w:name w:val="Comment Subject Char"/>
    <w:basedOn w:val="CommentTextChar"/>
    <w:link w:val="CommentSubject"/>
    <w:uiPriority w:val="99"/>
    <w:semiHidden/>
    <w:rsid w:val="0054004B"/>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7804">
      <w:bodyDiv w:val="1"/>
      <w:marLeft w:val="0"/>
      <w:marRight w:val="0"/>
      <w:marTop w:val="0"/>
      <w:marBottom w:val="0"/>
      <w:divBdr>
        <w:top w:val="none" w:sz="0" w:space="0" w:color="auto"/>
        <w:left w:val="none" w:sz="0" w:space="0" w:color="auto"/>
        <w:bottom w:val="none" w:sz="0" w:space="0" w:color="auto"/>
        <w:right w:val="none" w:sz="0" w:space="0" w:color="auto"/>
      </w:divBdr>
    </w:div>
    <w:div w:id="602803012">
      <w:bodyDiv w:val="1"/>
      <w:marLeft w:val="0"/>
      <w:marRight w:val="0"/>
      <w:marTop w:val="0"/>
      <w:marBottom w:val="0"/>
      <w:divBdr>
        <w:top w:val="none" w:sz="0" w:space="0" w:color="auto"/>
        <w:left w:val="none" w:sz="0" w:space="0" w:color="auto"/>
        <w:bottom w:val="none" w:sz="0" w:space="0" w:color="auto"/>
        <w:right w:val="none" w:sz="0" w:space="0" w:color="auto"/>
      </w:divBdr>
    </w:div>
    <w:div w:id="670330600">
      <w:bodyDiv w:val="1"/>
      <w:marLeft w:val="0"/>
      <w:marRight w:val="0"/>
      <w:marTop w:val="0"/>
      <w:marBottom w:val="0"/>
      <w:divBdr>
        <w:top w:val="none" w:sz="0" w:space="0" w:color="auto"/>
        <w:left w:val="none" w:sz="0" w:space="0" w:color="auto"/>
        <w:bottom w:val="none" w:sz="0" w:space="0" w:color="auto"/>
        <w:right w:val="none" w:sz="0" w:space="0" w:color="auto"/>
      </w:divBdr>
    </w:div>
    <w:div w:id="13894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a@vtct.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ynd\Documents\Custom%20Office%20Templates\Policies%20and%20Procedures%20document%20template_v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24678-EA88-44D3-8752-00562553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Policies and Procedures document template_v7</Template>
  <TotalTime>0</TotalTime>
  <Pages>6</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Bulley</dc:creator>
  <cp:lastModifiedBy>Erica Irvine</cp:lastModifiedBy>
  <cp:revision>2</cp:revision>
  <dcterms:created xsi:type="dcterms:W3CDTF">2021-08-05T09:02:00Z</dcterms:created>
  <dcterms:modified xsi:type="dcterms:W3CDTF">2021-08-05T09:02:00Z</dcterms:modified>
</cp:coreProperties>
</file>